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CE3A" w14:textId="59B6850E" w:rsidR="00BB3454" w:rsidRPr="00BB3454" w:rsidRDefault="00BB3454" w:rsidP="00BB3454">
      <w:pPr>
        <w:spacing w:before="3750" w:after="150" w:line="264" w:lineRule="atLeast"/>
        <w:jc w:val="center"/>
        <w:textAlignment w:val="baseline"/>
        <w:outlineLvl w:val="1"/>
        <w:rPr>
          <w:rFonts w:ascii="Arial" w:eastAsia="Times New Roman" w:hAnsi="Arial" w:cs="Arial"/>
          <w:color w:val="333333"/>
          <w:sz w:val="45"/>
          <w:szCs w:val="45"/>
          <w:lang w:eastAsia="nl-NL" w:bidi="th-TH"/>
        </w:rPr>
      </w:pPr>
      <w:r>
        <w:rPr>
          <w:rFonts w:ascii="Arial" w:eastAsia="Times New Roman" w:hAnsi="Arial" w:cs="Arial"/>
          <w:color w:val="333333"/>
          <w:sz w:val="45"/>
          <w:szCs w:val="45"/>
          <w:lang w:eastAsia="nl-NL" w:bidi="th-TH"/>
        </w:rPr>
        <w:t>Beleggen tijdens crisistijden</w:t>
      </w:r>
    </w:p>
    <w:p w14:paraId="55AC82DA" w14:textId="264BA25E" w:rsidR="00BB3454" w:rsidRPr="00BB3454" w:rsidRDefault="00BB3454" w:rsidP="00BB3454">
      <w:pPr>
        <w:spacing w:after="600" w:line="480" w:lineRule="atLeast"/>
        <w:jc w:val="center"/>
        <w:textAlignment w:val="baseline"/>
        <w:rPr>
          <w:rFonts w:ascii="Arial" w:eastAsia="Times New Roman" w:hAnsi="Arial" w:cs="Arial"/>
          <w:color w:val="333333"/>
          <w:sz w:val="27"/>
          <w:szCs w:val="27"/>
          <w:lang w:eastAsia="nl-NL" w:bidi="th-TH"/>
        </w:rPr>
      </w:pPr>
      <w:r w:rsidRPr="00BB3454">
        <w:rPr>
          <w:rFonts w:ascii="Arial" w:eastAsia="Times New Roman" w:hAnsi="Arial" w:cs="Arial"/>
          <w:color w:val="333333"/>
          <w:sz w:val="27"/>
          <w:szCs w:val="27"/>
          <w:lang w:eastAsia="nl-NL" w:bidi="th-TH"/>
        </w:rPr>
        <w:t xml:space="preserve">Forse koersdalingen zijn onvermijdelijk. Gemiddeld eens in de 10  jaar komt er een moment dat de beurzen in korte tijd fors dalen of voor langere tijd in het rood staan. Denk maar eens naar de beurskrach van 1987, het barsten van de internetbubbel in 2000 of de financiële crisis in 2008. Die rode cijfers zijn beangstigend en vele beleggers voelen dan ook de drang om op zulke momenten te handelen. Maar juist in dergelijke tijden </w:t>
      </w:r>
      <w:r>
        <w:rPr>
          <w:rFonts w:ascii="Arial" w:eastAsia="Times New Roman" w:hAnsi="Arial" w:cs="Arial"/>
          <w:color w:val="333333"/>
          <w:sz w:val="27"/>
          <w:szCs w:val="27"/>
          <w:lang w:eastAsia="nl-NL" w:bidi="th-TH"/>
        </w:rPr>
        <w:t>kan het lonen</w:t>
      </w:r>
      <w:r w:rsidRPr="00BB3454">
        <w:rPr>
          <w:rFonts w:ascii="Arial" w:eastAsia="Times New Roman" w:hAnsi="Arial" w:cs="Arial"/>
          <w:color w:val="333333"/>
          <w:sz w:val="27"/>
          <w:szCs w:val="27"/>
          <w:lang w:eastAsia="nl-NL" w:bidi="th-TH"/>
        </w:rPr>
        <w:t xml:space="preserve"> om de lange termijn voor ogen te houden. Om door de rode cijfers heen te kijken. En om u vast te houden aan uw plan. </w:t>
      </w:r>
      <w:r w:rsidR="00510245">
        <w:rPr>
          <w:rFonts w:ascii="Arial" w:eastAsia="Times New Roman" w:hAnsi="Arial" w:cs="Arial"/>
          <w:color w:val="333333"/>
          <w:sz w:val="27"/>
          <w:szCs w:val="27"/>
          <w:lang w:eastAsia="nl-NL" w:bidi="th-TH"/>
        </w:rPr>
        <w:t>Wij geven u hierbij meer context over beleggen tijdens crisistijden.</w:t>
      </w:r>
    </w:p>
    <w:p w14:paraId="5624C1BB" w14:textId="18F95F52" w:rsidR="00BB3454" w:rsidRPr="00BB3454" w:rsidRDefault="00510245" w:rsidP="00BB3454">
      <w:pPr>
        <w:spacing w:after="0" w:line="480" w:lineRule="atLeast"/>
        <w:textAlignment w:val="baseline"/>
        <w:rPr>
          <w:rFonts w:ascii="Arial" w:eastAsia="Times New Roman" w:hAnsi="Arial" w:cs="Arial"/>
          <w:color w:val="333333"/>
          <w:sz w:val="27"/>
          <w:szCs w:val="27"/>
          <w:lang w:eastAsia="nl-NL" w:bidi="th-TH"/>
        </w:rPr>
      </w:pPr>
      <w:r>
        <w:rPr>
          <w:rFonts w:ascii="Arial" w:eastAsia="Times New Roman" w:hAnsi="Arial" w:cs="Arial"/>
          <w:b/>
          <w:bCs/>
          <w:color w:val="333333"/>
          <w:sz w:val="27"/>
          <w:szCs w:val="27"/>
          <w:bdr w:val="none" w:sz="0" w:space="0" w:color="auto" w:frame="1"/>
          <w:lang w:eastAsia="nl-NL" w:bidi="th-TH"/>
        </w:rPr>
        <w:t>Het verleden</w:t>
      </w:r>
      <w:r w:rsidR="00BB3454" w:rsidRPr="00BB3454">
        <w:rPr>
          <w:rFonts w:ascii="Arial" w:eastAsia="Times New Roman" w:hAnsi="Arial" w:cs="Arial"/>
          <w:color w:val="333333"/>
          <w:sz w:val="27"/>
          <w:szCs w:val="27"/>
          <w:lang w:eastAsia="nl-NL" w:bidi="th-TH"/>
        </w:rPr>
        <w:br/>
        <w:t xml:space="preserve">Wereldwijde spanningen hebben altijd hun weerslag op de beurs en dus op uw beleggingen. Dat is niets nieuws. Maar de ene ontwikkeling heeft meer impact de andere. Door de jaren heen zijn we als mensheid meerdere malen geconfronteerd met fikse correcties op de beurs. Denk aan beurskrach in 1987, het barsten van de internetbubbel in 2000 of de onrust rondom de </w:t>
      </w:r>
      <w:proofErr w:type="spellStart"/>
      <w:r w:rsidR="00BB3454" w:rsidRPr="00BB3454">
        <w:rPr>
          <w:rFonts w:ascii="Arial" w:eastAsia="Times New Roman" w:hAnsi="Arial" w:cs="Arial"/>
          <w:color w:val="333333"/>
          <w:sz w:val="27"/>
          <w:szCs w:val="27"/>
          <w:lang w:eastAsia="nl-NL" w:bidi="th-TH"/>
        </w:rPr>
        <w:t>Brexit</w:t>
      </w:r>
      <w:proofErr w:type="spellEnd"/>
      <w:r w:rsidR="00BB3454" w:rsidRPr="00BB3454">
        <w:rPr>
          <w:rFonts w:ascii="Arial" w:eastAsia="Times New Roman" w:hAnsi="Arial" w:cs="Arial"/>
          <w:color w:val="333333"/>
          <w:sz w:val="27"/>
          <w:szCs w:val="27"/>
          <w:lang w:eastAsia="nl-NL" w:bidi="th-TH"/>
        </w:rPr>
        <w:t xml:space="preserve"> en de handelsoorlog tussen Amerika en China in 2018. We zouden tal van jaartallen kunnen opnoemen waarin de beurs tijdelijk dieprode cijfers liet zien.</w:t>
      </w:r>
    </w:p>
    <w:p w14:paraId="0424F1D4" w14:textId="0EAA11A7" w:rsidR="00BB3454" w:rsidRPr="00BB3454" w:rsidRDefault="00773E81" w:rsidP="00BB3454">
      <w:pPr>
        <w:spacing w:after="600" w:line="480" w:lineRule="atLeast"/>
        <w:textAlignment w:val="baseline"/>
        <w:rPr>
          <w:rFonts w:ascii="Arial" w:eastAsia="Times New Roman" w:hAnsi="Arial" w:cs="Arial"/>
          <w:color w:val="333333"/>
          <w:sz w:val="27"/>
          <w:szCs w:val="27"/>
          <w:lang w:eastAsia="nl-NL" w:bidi="th-TH"/>
        </w:rPr>
      </w:pPr>
      <w:r w:rsidRPr="00773E81">
        <w:rPr>
          <w:rFonts w:ascii="Arial" w:eastAsia="Times New Roman" w:hAnsi="Arial" w:cs="Arial"/>
          <w:color w:val="333333"/>
          <w:sz w:val="27"/>
          <w:szCs w:val="27"/>
          <w:lang w:eastAsia="nl-NL" w:bidi="th-TH"/>
        </w:rPr>
        <w:lastRenderedPageBreak/>
        <w:t>Beleggers krijgen dus geheid eens in de zoveel tijd een zure appel op hun bord. Wie in 2018 bijvoorbeeld in aandelen belegde, had een grote kans dat die aandelen in een jaar tijd fors in waarde daalden.</w:t>
      </w:r>
      <w:r>
        <w:rPr>
          <w:rFonts w:ascii="Arial" w:eastAsia="Times New Roman" w:hAnsi="Arial" w:cs="Arial"/>
          <w:color w:val="333333"/>
          <w:sz w:val="27"/>
          <w:szCs w:val="27"/>
          <w:lang w:eastAsia="nl-NL" w:bidi="th-TH"/>
        </w:rPr>
        <w:br/>
      </w:r>
      <w:r>
        <w:rPr>
          <w:rFonts w:ascii="Arial" w:eastAsia="Times New Roman" w:hAnsi="Arial" w:cs="Arial"/>
          <w:color w:val="333333"/>
          <w:sz w:val="27"/>
          <w:szCs w:val="27"/>
          <w:lang w:eastAsia="nl-NL" w:bidi="th-TH"/>
        </w:rPr>
        <w:br/>
      </w:r>
      <w:r w:rsidRPr="00773E81">
        <w:rPr>
          <w:rFonts w:ascii="Arial" w:eastAsia="Times New Roman" w:hAnsi="Arial" w:cs="Arial"/>
          <w:color w:val="333333"/>
          <w:sz w:val="27"/>
          <w:szCs w:val="27"/>
          <w:lang w:eastAsia="nl-NL" w:bidi="th-TH"/>
        </w:rPr>
        <w:t>Maar juist in periodes van dalende koersen kan het raadzaam zijn om door die zure appel heen te bijten. Want 2019 was een topjaar voor de beurs. Wie zijn hoofd in 2018 koel hield en zich niet liet wegjagen door de rode cijfers, haalde in 2019 met dezelfde aandelen waarschijnlijk een zeer hoog rendement. Stelt u eens voor dat u juist tijdens die dalingen in 2018 uw beleggingen verkocht en later weer – tegen een hogere koers – instapte. Dat had u waarschijnlijk veel geld gekost. Het aantal beleggers dat in het verleden uit angst handelde en daardoor grote verliezen maakte is vermoedelijk dan ook erg groot.</w:t>
      </w:r>
      <w:bookmarkStart w:id="0" w:name="_GoBack"/>
      <w:bookmarkEnd w:id="0"/>
    </w:p>
    <w:p w14:paraId="185E03EC" w14:textId="71DB6CE4" w:rsidR="00BB3454" w:rsidRPr="00BB3454" w:rsidRDefault="00510245" w:rsidP="00BB3454">
      <w:pPr>
        <w:spacing w:line="480" w:lineRule="atLeast"/>
        <w:textAlignment w:val="baseline"/>
        <w:rPr>
          <w:rFonts w:ascii="Arial" w:eastAsia="Times New Roman" w:hAnsi="Arial" w:cs="Arial"/>
          <w:color w:val="333333"/>
          <w:sz w:val="27"/>
          <w:szCs w:val="27"/>
          <w:lang w:eastAsia="nl-NL" w:bidi="th-TH"/>
        </w:rPr>
      </w:pPr>
      <w:r>
        <w:rPr>
          <w:rFonts w:ascii="Arial" w:eastAsia="Times New Roman" w:hAnsi="Arial" w:cs="Arial"/>
          <w:b/>
          <w:bCs/>
          <w:color w:val="333333"/>
          <w:sz w:val="27"/>
          <w:szCs w:val="27"/>
          <w:bdr w:val="none" w:sz="0" w:space="0" w:color="auto" w:frame="1"/>
          <w:lang w:eastAsia="nl-NL" w:bidi="th-TH"/>
        </w:rPr>
        <w:t>De markt laat zich niet voorspellen</w:t>
      </w:r>
      <w:r>
        <w:rPr>
          <w:rFonts w:ascii="Arial" w:eastAsia="Times New Roman" w:hAnsi="Arial" w:cs="Arial"/>
          <w:b/>
          <w:bCs/>
          <w:color w:val="333333"/>
          <w:sz w:val="27"/>
          <w:szCs w:val="27"/>
          <w:bdr w:val="none" w:sz="0" w:space="0" w:color="auto" w:frame="1"/>
          <w:lang w:eastAsia="nl-NL" w:bidi="th-TH"/>
        </w:rPr>
        <w:br/>
      </w:r>
      <w:r>
        <w:rPr>
          <w:rFonts w:ascii="Arial" w:eastAsia="Times New Roman" w:hAnsi="Arial" w:cs="Arial"/>
          <w:color w:val="333333"/>
          <w:sz w:val="27"/>
          <w:szCs w:val="27"/>
          <w:lang w:eastAsia="nl-NL" w:bidi="th-TH"/>
        </w:rPr>
        <w:t>We vermoeden dat u de beurs niet kunt voorspellen.</w:t>
      </w:r>
      <w:r w:rsidR="00BB3454" w:rsidRPr="00BB3454">
        <w:rPr>
          <w:rFonts w:ascii="Arial" w:eastAsia="Times New Roman" w:hAnsi="Arial" w:cs="Arial"/>
          <w:color w:val="333333"/>
          <w:sz w:val="27"/>
          <w:szCs w:val="27"/>
          <w:lang w:eastAsia="nl-NL" w:bidi="th-TH"/>
        </w:rPr>
        <w:t xml:space="preserve"> Tenzij u een glazen bol heeft, maar dat geldt helaas voor weinig van ons. Uit allerlei onderzoeken blijk dat het vrijwel onmogelijk is om de beurs te verslaan. Kijk maar eens naar de onderstaande tabel, waarin het rendement van actieve beleggingsfondsen in procenten wordt vergeleken met de S&amp;P 500, de index van </w:t>
      </w:r>
      <w:proofErr w:type="spellStart"/>
      <w:r w:rsidR="00BB3454" w:rsidRPr="00BB3454">
        <w:rPr>
          <w:rFonts w:ascii="Arial" w:eastAsia="Times New Roman" w:hAnsi="Arial" w:cs="Arial"/>
          <w:color w:val="333333"/>
          <w:sz w:val="27"/>
          <w:szCs w:val="27"/>
          <w:lang w:eastAsia="nl-NL" w:bidi="th-TH"/>
        </w:rPr>
        <w:t>Amerika’s</w:t>
      </w:r>
      <w:proofErr w:type="spellEnd"/>
      <w:r w:rsidR="00BB3454" w:rsidRPr="00BB3454">
        <w:rPr>
          <w:rFonts w:ascii="Arial" w:eastAsia="Times New Roman" w:hAnsi="Arial" w:cs="Arial"/>
          <w:color w:val="333333"/>
          <w:sz w:val="27"/>
          <w:szCs w:val="27"/>
          <w:lang w:eastAsia="nl-NL" w:bidi="th-TH"/>
        </w:rPr>
        <w:t xml:space="preserve"> grootste bedrijven. Wat blijkt? D</w:t>
      </w:r>
      <w:r w:rsidR="00BB3454">
        <w:rPr>
          <w:rFonts w:ascii="Arial" w:eastAsia="Times New Roman" w:hAnsi="Arial" w:cs="Arial"/>
          <w:color w:val="333333"/>
          <w:sz w:val="27"/>
          <w:szCs w:val="27"/>
          <w:lang w:eastAsia="nl-NL" w:bidi="th-TH"/>
        </w:rPr>
        <w:t>e markt</w:t>
      </w:r>
      <w:r w:rsidR="00BB3454" w:rsidRPr="00BB3454">
        <w:rPr>
          <w:rFonts w:ascii="Arial" w:eastAsia="Times New Roman" w:hAnsi="Arial" w:cs="Arial"/>
          <w:color w:val="333333"/>
          <w:sz w:val="27"/>
          <w:szCs w:val="27"/>
          <w:lang w:eastAsia="nl-NL" w:bidi="th-TH"/>
        </w:rPr>
        <w:t xml:space="preserve"> presteert </w:t>
      </w:r>
      <w:r w:rsidR="00BB3454">
        <w:rPr>
          <w:rFonts w:ascii="Arial" w:eastAsia="Times New Roman" w:hAnsi="Arial" w:cs="Arial"/>
          <w:color w:val="333333"/>
          <w:sz w:val="27"/>
          <w:szCs w:val="27"/>
          <w:lang w:eastAsia="nl-NL" w:bidi="th-TH"/>
        </w:rPr>
        <w:t>doorgaans</w:t>
      </w:r>
      <w:r w:rsidR="00BB3454" w:rsidRPr="00BB3454">
        <w:rPr>
          <w:rFonts w:ascii="Arial" w:eastAsia="Times New Roman" w:hAnsi="Arial" w:cs="Arial"/>
          <w:color w:val="333333"/>
          <w:sz w:val="27"/>
          <w:szCs w:val="27"/>
          <w:lang w:eastAsia="nl-NL" w:bidi="th-TH"/>
        </w:rPr>
        <w:t xml:space="preserve"> beter dan de actieve belegger</w:t>
      </w:r>
      <w:r w:rsidR="00BB3454">
        <w:rPr>
          <w:rFonts w:ascii="Arial" w:eastAsia="Times New Roman" w:hAnsi="Arial" w:cs="Arial"/>
          <w:color w:val="333333"/>
          <w:sz w:val="27"/>
          <w:szCs w:val="27"/>
          <w:lang w:eastAsia="nl-NL" w:bidi="th-TH"/>
        </w:rPr>
        <w:t xml:space="preserve"> en laat zich dus niet voorspellen.</w:t>
      </w:r>
    </w:p>
    <w:p w14:paraId="69C92729" w14:textId="0B6B36B4" w:rsidR="00BB3454" w:rsidRPr="00BB3454" w:rsidRDefault="00BB3454" w:rsidP="00BB3454">
      <w:pPr>
        <w:spacing w:line="240" w:lineRule="auto"/>
        <w:textAlignment w:val="top"/>
        <w:rPr>
          <w:rFonts w:ascii="Arial" w:eastAsia="Times New Roman" w:hAnsi="Arial" w:cs="Arial"/>
          <w:color w:val="333333"/>
          <w:sz w:val="27"/>
          <w:szCs w:val="27"/>
          <w:lang w:eastAsia="nl-NL" w:bidi="th-TH"/>
        </w:rPr>
      </w:pPr>
      <w:r w:rsidRPr="00BB3454">
        <w:rPr>
          <w:rFonts w:ascii="Arial" w:eastAsia="Times New Roman" w:hAnsi="Arial" w:cs="Arial"/>
          <w:noProof/>
          <w:color w:val="333333"/>
          <w:sz w:val="27"/>
          <w:szCs w:val="27"/>
          <w:lang w:eastAsia="nl-NL" w:bidi="th-TH"/>
        </w:rPr>
        <w:lastRenderedPageBreak/>
        <mc:AlternateContent>
          <mc:Choice Requires="wps">
            <w:drawing>
              <wp:inline distT="0" distB="0" distL="0" distR="0" wp14:anchorId="5315D459" wp14:editId="73472534">
                <wp:extent cx="12658725" cy="65722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58725" cy="657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53272" id="Rectangle 2" o:spid="_x0000_s1026" style="width:996.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4O8AEAAMcDAAAOAAAAZHJzL2Uyb0RvYy54bWysU11v0zAUfUfiP1h+p2mithtR02naNIQ0&#10;YNrgB9w6TmOR+Jprt2n59Vw7bengDfFi+X7k+NxzT5Y3+74TO03eoK1kPplKoa3C2thNJb99fXh3&#10;LYUPYGvo0OpKHrSXN6u3b5aDK3WBLXa1JsEg1peDq2QbgiuzzKtW9+An6LTlYoPUQ+CQNllNMDB6&#10;32XFdLrIBqTaESrtPWfvx6JcJfym0Sp8aRqvg+gqydxCOimd63hmqyWUGwLXGnWkAf/Aogdj+dEz&#10;1D0EEFsyf0H1RhF6bMJEYZ9h0xil0ww8TT79Y5qXFpxOs7A43p1l8v8PVn3ePZEwdSULKSz0vKJn&#10;Fg3sptOiiPIMzpfc9eKeKA7o3SOq715YvGu5S996x/28ev78lCLCodVQM888QmSvMGLgGU2sh09Y&#10;84OwDZjE2zfUxzdYFrFPOzqcd6T3QShO5sVifn1VzKVQXFzMr4pintaYQXn63pEPHzT2Il4qSUww&#10;4cPu0YfIB8pTS3zO4oPpuuSEzr5KcGPMJP6R8qjGGusD0ycc3cTu50uL9FOKgZ1USf9jC6Sl6D5a&#10;luB9PptF66VgxoQ5oMvK+rICVjFUJYMU4/UujHbdOjKbNik9crxl2RqT5omSjqyOZNktacyjs6Md&#10;L+PU9fv/W/0CAAD//wMAUEsDBBQABgAIAAAAIQBGKHVc3gAAAAcBAAAPAAAAZHJzL2Rvd25yZXYu&#10;eG1sTI9BS8NAEIXvgv9hGcGLtLtaKjZmU6QgFhGKae15mh2TYHY2zW6T+O/detHL8IY3vPdNuhxt&#10;I3rqfO1Yw+1UgSAunKm51LDbPk8eQPiAbLBxTBq+ycMyu7xIMTFu4Hfq81CKGMI+QQ1VCG0ipS8q&#10;suinriWO3qfrLIa4dqU0HQ4x3DbyTql7abHm2FBhS6uKiq/8ZDUMxabfb99e5OZmv3Z8XB9X+cer&#10;1tdX49MjiEBj+DuGM35EhywyHdyJjReNhvhI+J1nb7GYzUEcolKzuQKZpfI/f/YDAAD//wMAUEsB&#10;Ai0AFAAGAAgAAAAhALaDOJL+AAAA4QEAABMAAAAAAAAAAAAAAAAAAAAAAFtDb250ZW50X1R5cGVz&#10;XS54bWxQSwECLQAUAAYACAAAACEAOP0h/9YAAACUAQAACwAAAAAAAAAAAAAAAAAvAQAAX3JlbHMv&#10;LnJlbHNQSwECLQAUAAYACAAAACEAecfeDvABAADHAwAADgAAAAAAAAAAAAAAAAAuAgAAZHJzL2Uy&#10;b0RvYy54bWxQSwECLQAUAAYACAAAACEARih1XN4AAAAHAQAADwAAAAAAAAAAAAAAAABKBAAAZHJz&#10;L2Rvd25yZXYueG1sUEsFBgAAAAAEAAQA8wAAAFUFAAAAAA==&#10;" filled="f" stroked="f">
                <o:lock v:ext="edit" aspectratio="t"/>
                <w10:anchorlock/>
              </v:rect>
            </w:pict>
          </mc:Fallback>
        </mc:AlternateContent>
      </w:r>
    </w:p>
    <w:p w14:paraId="64F03319" w14:textId="77777777" w:rsidR="00BB3454" w:rsidRPr="00BB3454" w:rsidRDefault="00BB3454" w:rsidP="00BB3454">
      <w:pPr>
        <w:spacing w:line="240" w:lineRule="atLeast"/>
        <w:textAlignment w:val="baseline"/>
        <w:outlineLvl w:val="5"/>
        <w:rPr>
          <w:rFonts w:ascii="Arial" w:eastAsia="Times New Roman" w:hAnsi="Arial" w:cs="Arial"/>
          <w:color w:val="333333"/>
          <w:sz w:val="20"/>
          <w:szCs w:val="20"/>
          <w:lang w:eastAsia="nl-NL" w:bidi="th-TH"/>
        </w:rPr>
      </w:pPr>
      <w:r w:rsidRPr="00BB3454">
        <w:rPr>
          <w:rFonts w:ascii="Arial" w:eastAsia="Times New Roman" w:hAnsi="Arial" w:cs="Arial"/>
          <w:i/>
          <w:iCs/>
          <w:color w:val="333333"/>
          <w:sz w:val="20"/>
          <w:szCs w:val="20"/>
          <w:bdr w:val="none" w:sz="0" w:space="0" w:color="auto" w:frame="1"/>
          <w:lang w:eastAsia="nl-NL" w:bidi="th-TH"/>
        </w:rPr>
        <w:t xml:space="preserve">Het rendement in procenten van de S&amp;P 500 vergeleken met de prestaties van actieve beleggingsfondsen tot 2016. Bron: </w:t>
      </w:r>
      <w:proofErr w:type="spellStart"/>
      <w:r w:rsidRPr="00BB3454">
        <w:rPr>
          <w:rFonts w:ascii="Arial" w:eastAsia="Times New Roman" w:hAnsi="Arial" w:cs="Arial"/>
          <w:i/>
          <w:iCs/>
          <w:color w:val="333333"/>
          <w:sz w:val="20"/>
          <w:szCs w:val="20"/>
          <w:bdr w:val="none" w:sz="0" w:space="0" w:color="auto" w:frame="1"/>
          <w:lang w:eastAsia="nl-NL" w:bidi="th-TH"/>
        </w:rPr>
        <w:t>Dalbar</w:t>
      </w:r>
      <w:proofErr w:type="spellEnd"/>
      <w:r w:rsidRPr="00BB3454">
        <w:rPr>
          <w:rFonts w:ascii="Arial" w:eastAsia="Times New Roman" w:hAnsi="Arial" w:cs="Arial"/>
          <w:i/>
          <w:iCs/>
          <w:color w:val="333333"/>
          <w:sz w:val="20"/>
          <w:szCs w:val="20"/>
          <w:bdr w:val="none" w:sz="0" w:space="0" w:color="auto" w:frame="1"/>
          <w:lang w:eastAsia="nl-NL" w:bidi="th-TH"/>
        </w:rPr>
        <w:t>.</w:t>
      </w:r>
    </w:p>
    <w:p w14:paraId="6DE532CD" w14:textId="481458F5" w:rsidR="00BB3454" w:rsidRPr="00BB3454" w:rsidRDefault="00510245" w:rsidP="00BB3454">
      <w:pPr>
        <w:spacing w:after="0" w:line="480" w:lineRule="atLeast"/>
        <w:textAlignment w:val="baseline"/>
        <w:rPr>
          <w:rFonts w:ascii="Arial" w:eastAsia="Times New Roman" w:hAnsi="Arial" w:cs="Arial"/>
          <w:color w:val="333333"/>
          <w:sz w:val="27"/>
          <w:szCs w:val="27"/>
          <w:lang w:eastAsia="nl-NL" w:bidi="th-TH"/>
        </w:rPr>
      </w:pPr>
      <w:r>
        <w:rPr>
          <w:rFonts w:ascii="Arial" w:eastAsia="Times New Roman" w:hAnsi="Arial" w:cs="Arial"/>
          <w:b/>
          <w:bCs/>
          <w:color w:val="333333"/>
          <w:sz w:val="27"/>
          <w:szCs w:val="27"/>
          <w:bdr w:val="none" w:sz="0" w:space="0" w:color="auto" w:frame="1"/>
          <w:lang w:eastAsia="nl-NL" w:bidi="th-TH"/>
        </w:rPr>
        <w:t>Beleggen is voor de lange termijn</w:t>
      </w:r>
      <w:r w:rsidR="00BB3454" w:rsidRPr="00BB3454">
        <w:rPr>
          <w:rFonts w:ascii="Arial" w:eastAsia="Times New Roman" w:hAnsi="Arial" w:cs="Arial"/>
          <w:b/>
          <w:bCs/>
          <w:color w:val="333333"/>
          <w:sz w:val="27"/>
          <w:szCs w:val="27"/>
          <w:bdr w:val="none" w:sz="0" w:space="0" w:color="auto" w:frame="1"/>
          <w:lang w:eastAsia="nl-NL" w:bidi="th-TH"/>
        </w:rPr>
        <w:br/>
      </w:r>
      <w:r w:rsidR="00BB3454" w:rsidRPr="00BB3454">
        <w:rPr>
          <w:rFonts w:ascii="Arial" w:eastAsia="Times New Roman" w:hAnsi="Arial" w:cs="Arial"/>
          <w:color w:val="333333"/>
          <w:sz w:val="27"/>
          <w:szCs w:val="27"/>
          <w:lang w:eastAsia="nl-NL" w:bidi="th-TH"/>
        </w:rPr>
        <w:t xml:space="preserve">Als u belegt, weet u één ding zeker: gemiddeld eens in de 10 jaar krijgt u een flinke beurscrisis voor uw kiezen, waarbij de koersen in korte tijd énorm dalen. En elk jaar dalen de koersen doorgaans wel een keer in korte tijd met 10%. </w:t>
      </w:r>
      <w:r>
        <w:rPr>
          <w:rFonts w:ascii="Arial" w:eastAsia="Times New Roman" w:hAnsi="Arial" w:cs="Arial"/>
          <w:color w:val="333333"/>
          <w:sz w:val="27"/>
          <w:szCs w:val="27"/>
          <w:lang w:eastAsia="nl-NL" w:bidi="th-TH"/>
        </w:rPr>
        <w:t xml:space="preserve">Het verleden leert ons dat dan loont om uw hoofd koel te </w:t>
      </w:r>
      <w:r>
        <w:rPr>
          <w:rFonts w:ascii="Arial" w:eastAsia="Times New Roman" w:hAnsi="Arial" w:cs="Arial"/>
          <w:color w:val="333333"/>
          <w:sz w:val="27"/>
          <w:szCs w:val="27"/>
          <w:lang w:eastAsia="nl-NL" w:bidi="th-TH"/>
        </w:rPr>
        <w:lastRenderedPageBreak/>
        <w:t>houden</w:t>
      </w:r>
      <w:r w:rsidR="00BB3454" w:rsidRPr="00BB3454">
        <w:rPr>
          <w:rFonts w:ascii="Arial" w:eastAsia="Times New Roman" w:hAnsi="Arial" w:cs="Arial"/>
          <w:color w:val="333333"/>
          <w:sz w:val="27"/>
          <w:szCs w:val="27"/>
          <w:lang w:eastAsia="nl-NL" w:bidi="th-TH"/>
        </w:rPr>
        <w:t>. Want dalingen w</w:t>
      </w:r>
      <w:r w:rsidR="00BB3454">
        <w:rPr>
          <w:rFonts w:ascii="Arial" w:eastAsia="Times New Roman" w:hAnsi="Arial" w:cs="Arial"/>
          <w:color w:val="333333"/>
          <w:sz w:val="27"/>
          <w:szCs w:val="27"/>
          <w:lang w:eastAsia="nl-NL" w:bidi="th-TH"/>
        </w:rPr>
        <w:t xml:space="preserve">erden in het verleden altijd </w:t>
      </w:r>
      <w:r w:rsidR="00BB3454" w:rsidRPr="00BB3454">
        <w:rPr>
          <w:rFonts w:ascii="Arial" w:eastAsia="Times New Roman" w:hAnsi="Arial" w:cs="Arial"/>
          <w:color w:val="333333"/>
          <w:sz w:val="27"/>
          <w:szCs w:val="27"/>
          <w:lang w:eastAsia="nl-NL" w:bidi="th-TH"/>
        </w:rPr>
        <w:t xml:space="preserve">weer opgevolgd door stijgingen, die weer </w:t>
      </w:r>
      <w:r w:rsidR="00BB3454">
        <w:rPr>
          <w:rFonts w:ascii="Arial" w:eastAsia="Times New Roman" w:hAnsi="Arial" w:cs="Arial"/>
          <w:color w:val="333333"/>
          <w:sz w:val="27"/>
          <w:szCs w:val="27"/>
          <w:lang w:eastAsia="nl-NL" w:bidi="th-TH"/>
        </w:rPr>
        <w:t>werden</w:t>
      </w:r>
      <w:r w:rsidR="00BB3454" w:rsidRPr="00BB3454">
        <w:rPr>
          <w:rFonts w:ascii="Arial" w:eastAsia="Times New Roman" w:hAnsi="Arial" w:cs="Arial"/>
          <w:color w:val="333333"/>
          <w:sz w:val="27"/>
          <w:szCs w:val="27"/>
          <w:lang w:eastAsia="nl-NL" w:bidi="th-TH"/>
        </w:rPr>
        <w:t xml:space="preserve"> opgevolgd door dalingen die weer… U begrijpt het. Op de lange termijn </w:t>
      </w:r>
      <w:r w:rsidR="00BB3454">
        <w:rPr>
          <w:rFonts w:ascii="Arial" w:eastAsia="Times New Roman" w:hAnsi="Arial" w:cs="Arial"/>
          <w:color w:val="333333"/>
          <w:sz w:val="27"/>
          <w:szCs w:val="27"/>
          <w:lang w:eastAsia="nl-NL" w:bidi="th-TH"/>
        </w:rPr>
        <w:t xml:space="preserve">leveren aandelen </w:t>
      </w:r>
      <w:r w:rsidR="00662199">
        <w:rPr>
          <w:rFonts w:ascii="Arial" w:eastAsia="Times New Roman" w:hAnsi="Arial" w:cs="Arial"/>
          <w:color w:val="333333"/>
          <w:sz w:val="27"/>
          <w:szCs w:val="27"/>
          <w:lang w:eastAsia="nl-NL" w:bidi="th-TH"/>
        </w:rPr>
        <w:t xml:space="preserve">tot op heden </w:t>
      </w:r>
      <w:r w:rsidR="00BB3454">
        <w:rPr>
          <w:rFonts w:ascii="Arial" w:eastAsia="Times New Roman" w:hAnsi="Arial" w:cs="Arial"/>
          <w:color w:val="333333"/>
          <w:sz w:val="27"/>
          <w:szCs w:val="27"/>
          <w:lang w:eastAsia="nl-NL" w:bidi="th-TH"/>
        </w:rPr>
        <w:t>een positief rendement op</w:t>
      </w:r>
      <w:r w:rsidR="00BB3454" w:rsidRPr="00BB3454">
        <w:rPr>
          <w:rFonts w:ascii="Arial" w:eastAsia="Times New Roman" w:hAnsi="Arial" w:cs="Arial"/>
          <w:color w:val="333333"/>
          <w:sz w:val="27"/>
          <w:szCs w:val="27"/>
          <w:lang w:eastAsia="nl-NL" w:bidi="th-TH"/>
        </w:rPr>
        <w:t>,</w:t>
      </w:r>
      <w:r w:rsidR="00662199">
        <w:rPr>
          <w:rFonts w:ascii="Arial" w:eastAsia="Times New Roman" w:hAnsi="Arial" w:cs="Arial"/>
          <w:color w:val="333333"/>
          <w:sz w:val="27"/>
          <w:szCs w:val="27"/>
          <w:lang w:eastAsia="nl-NL" w:bidi="th-TH"/>
        </w:rPr>
        <w:t xml:space="preserve"> leert de historie ons</w:t>
      </w:r>
      <w:r w:rsidR="00BB3454" w:rsidRPr="00BB3454">
        <w:rPr>
          <w:rFonts w:ascii="Arial" w:eastAsia="Times New Roman" w:hAnsi="Arial" w:cs="Arial"/>
          <w:color w:val="333333"/>
          <w:sz w:val="27"/>
          <w:szCs w:val="27"/>
          <w:lang w:eastAsia="nl-NL" w:bidi="th-TH"/>
        </w:rPr>
        <w:t>. Tussentijds kan dat flink meer of minder zijn.</w:t>
      </w:r>
      <w:r w:rsidR="00BB3454">
        <w:rPr>
          <w:rFonts w:ascii="Arial" w:eastAsia="Times New Roman" w:hAnsi="Arial" w:cs="Arial"/>
          <w:color w:val="333333"/>
          <w:sz w:val="27"/>
          <w:szCs w:val="27"/>
          <w:lang w:eastAsia="nl-NL" w:bidi="th-TH"/>
        </w:rPr>
        <w:t xml:space="preserve"> </w:t>
      </w:r>
      <w:r w:rsidR="00BB3454" w:rsidRPr="00BB3454">
        <w:rPr>
          <w:rFonts w:ascii="Arial" w:eastAsia="Times New Roman" w:hAnsi="Arial" w:cs="Arial"/>
          <w:color w:val="333333"/>
          <w:sz w:val="27"/>
          <w:szCs w:val="27"/>
          <w:lang w:eastAsia="nl-NL" w:bidi="th-TH"/>
        </w:rPr>
        <w:t>Het is dus belangrijk dat u, als u gaat beleggen, de lange termijn voor ogen houdt.</w:t>
      </w:r>
      <w:r w:rsidR="00662199">
        <w:rPr>
          <w:rFonts w:ascii="Arial" w:eastAsia="Times New Roman" w:hAnsi="Arial" w:cs="Arial"/>
          <w:color w:val="333333"/>
          <w:sz w:val="27"/>
          <w:szCs w:val="27"/>
          <w:lang w:eastAsia="nl-NL" w:bidi="th-TH"/>
        </w:rPr>
        <w:br/>
      </w:r>
    </w:p>
    <w:p w14:paraId="0CDAD1D2" w14:textId="77777777" w:rsidR="00BB3454" w:rsidRPr="00BB3454" w:rsidRDefault="00BB3454" w:rsidP="00BB3454">
      <w:pPr>
        <w:spacing w:after="600" w:line="480" w:lineRule="atLeast"/>
        <w:textAlignment w:val="baseline"/>
        <w:rPr>
          <w:rFonts w:ascii="Arial" w:eastAsia="Times New Roman" w:hAnsi="Arial" w:cs="Arial"/>
          <w:color w:val="333333"/>
          <w:sz w:val="27"/>
          <w:szCs w:val="27"/>
          <w:lang w:eastAsia="nl-NL" w:bidi="th-TH"/>
        </w:rPr>
      </w:pPr>
      <w:r w:rsidRPr="00BB3454">
        <w:rPr>
          <w:rFonts w:ascii="Arial" w:eastAsia="Times New Roman" w:hAnsi="Arial" w:cs="Arial"/>
          <w:color w:val="333333"/>
          <w:sz w:val="27"/>
          <w:szCs w:val="27"/>
          <w:lang w:eastAsia="nl-NL" w:bidi="th-TH"/>
        </w:rPr>
        <w:t>Ter voorbeeld kunnen we de rendementen van sparen en beleggen over periodes van 20 jaar aanhalen. Hieronder ziet u het gemiddelde jaarlijkse rendement over periodes van twintig jaar voor zowel beleggen als sparen over alle mogelijke periodes van 20 jaar tussen 1947 en 2018. Hieruit blijkt dat beleggen over een periode van 20 jaar vrijwel altijd een hoger rendement opbracht dan sparen.</w:t>
      </w:r>
    </w:p>
    <w:p w14:paraId="41B015C5" w14:textId="20996C4E" w:rsidR="00BB3454" w:rsidRPr="00BB3454" w:rsidRDefault="00BB3454" w:rsidP="00BB3454">
      <w:pPr>
        <w:spacing w:line="240" w:lineRule="auto"/>
        <w:textAlignment w:val="top"/>
        <w:rPr>
          <w:rFonts w:ascii="Arial" w:eastAsia="Times New Roman" w:hAnsi="Arial" w:cs="Arial"/>
          <w:color w:val="333333"/>
          <w:sz w:val="27"/>
          <w:szCs w:val="27"/>
          <w:lang w:eastAsia="nl-NL" w:bidi="th-TH"/>
        </w:rPr>
      </w:pPr>
      <w:r w:rsidRPr="00BB3454">
        <w:rPr>
          <w:rFonts w:ascii="Arial" w:eastAsia="Times New Roman" w:hAnsi="Arial" w:cs="Arial"/>
          <w:noProof/>
          <w:color w:val="333333"/>
          <w:sz w:val="27"/>
          <w:szCs w:val="27"/>
          <w:lang w:eastAsia="nl-NL" w:bidi="th-TH"/>
        </w:rPr>
        <mc:AlternateContent>
          <mc:Choice Requires="wps">
            <w:drawing>
              <wp:inline distT="0" distB="0" distL="0" distR="0" wp14:anchorId="07804662" wp14:editId="5EA79DF2">
                <wp:extent cx="5453380" cy="3053989"/>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53380" cy="3053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674F2" id="Rectangle 1" o:spid="_x0000_s1026" style="width:429.4pt;height:2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917AEAAMYDAAAOAAAAZHJzL2Uyb0RvYy54bWysU9uO0zAQfUfiHyy/06Q3aKOmq9WuFiEt&#10;sGLhA1zHbiwcjxm7TcvXM3ba0oU3xIvlueT4zJmT1c2hs2yvMBhwNR+PSs6Uk9AYt635t68Pbxac&#10;hShcIyw4VfOjCvxm/frVqveVmkALtlHICMSFqvc1b2P0VVEE2apOhBF45aioATsRKcRt0aDoCb2z&#10;xaQs3xY9YOMRpAqBsvdDka8zvtZKxs9aBxWZrTlxi/nEfG7SWaxXotqi8K2RJxriH1h0wjh69AJ1&#10;L6JgOzR/QXVGIgTQcSShK0BrI1WegaYZl39M89wKr/IsJE7wF5nC/4OVn/ZPyExDu+PMiY5W9IVE&#10;E25rFRsneXofKup69k+YBgz+EeT3wBzctdSlboOn/uHzcwoR+laJhnhmiOIFRgoCobFN/xEaelDs&#10;ImTxDhq79AbJwg55R8fLjtQhMknJ+Ww+nS5olZJq03I+XS6WiWYhqvPnHkN8r6Bj6VJzJH4ZXuwf&#10;Qxxazy3pNQcPxtpsBOteJAgzZTL9xHgQYwPNkdgjDGYi89OlBfzJWU9Gqnn4sROoOLMfHCmwHM9m&#10;yXk5mM3fTSjA68rmuiKcJKiaR86G610c3LrzaLZtFnrgeEuqaZPnSYoOrE5kySxZkZOxkxuv49z1&#10;+/db/wIAAP//AwBQSwMEFAAGAAgAAAAhAB465fDdAAAABQEAAA8AAABkcnMvZG93bnJldi54bWxM&#10;j09Lw0AQxe+C32EZwYvYjUVLjNkUKRSLCKXpn/M2OybB7Gya3Sbx2zv1opcHwxve+710PtpG9Nj5&#10;2pGCh0kEAqlwpqZSwW67vI9B+KDJ6MYRKvhGD/Ps+irViXEDbbDPQyk4hHyiFVQhtImUvqjQaj9x&#10;LRJ7n66zOvDZldJ0euBw28hpFM2k1TVxQ6VbXFRYfOVnq2Ao1v1h+/Em13eHlaPT6rTI9+9K3d6M&#10;ry8gAo7h7xku+IwOGTMd3ZmMF40CHhJ+lb34KeYZRwWPcfQMMkvlf/rsBwAA//8DAFBLAQItABQA&#10;BgAIAAAAIQC2gziS/gAAAOEBAAATAAAAAAAAAAAAAAAAAAAAAABbQ29udGVudF9UeXBlc10ueG1s&#10;UEsBAi0AFAAGAAgAAAAhADj9If/WAAAAlAEAAAsAAAAAAAAAAAAAAAAALwEAAF9yZWxzLy5yZWxz&#10;UEsBAi0AFAAGAAgAAAAhAI/B33XsAQAAxgMAAA4AAAAAAAAAAAAAAAAALgIAAGRycy9lMm9Eb2Mu&#10;eG1sUEsBAi0AFAAGAAgAAAAhAB465fDdAAAABQEAAA8AAAAAAAAAAAAAAAAARgQAAGRycy9kb3du&#10;cmV2LnhtbFBLBQYAAAAABAAEAPMAAABQBQAAAAA=&#10;" filled="f" stroked="f">
                <o:lock v:ext="edit" aspectratio="t"/>
                <w10:anchorlock/>
              </v:rect>
            </w:pict>
          </mc:Fallback>
        </mc:AlternateContent>
      </w:r>
    </w:p>
    <w:p w14:paraId="2ACE95E2" w14:textId="1FE06CC8" w:rsidR="00510245" w:rsidRDefault="00BB3454" w:rsidP="00BF3EEB">
      <w:pPr>
        <w:spacing w:line="240" w:lineRule="atLeast"/>
        <w:textAlignment w:val="baseline"/>
        <w:outlineLvl w:val="5"/>
        <w:rPr>
          <w:rFonts w:ascii="Arial" w:eastAsia="Times New Roman" w:hAnsi="Arial" w:cs="Arial"/>
          <w:color w:val="333333"/>
          <w:sz w:val="20"/>
          <w:szCs w:val="20"/>
          <w:lang w:eastAsia="nl-NL" w:bidi="th-TH"/>
        </w:rPr>
      </w:pPr>
      <w:r w:rsidRPr="00BB3454">
        <w:rPr>
          <w:rFonts w:ascii="Arial" w:eastAsia="Times New Roman" w:hAnsi="Arial" w:cs="Arial"/>
          <w:i/>
          <w:iCs/>
          <w:color w:val="333333"/>
          <w:sz w:val="20"/>
          <w:szCs w:val="20"/>
          <w:bdr w:val="none" w:sz="0" w:space="0" w:color="auto" w:frame="1"/>
          <w:lang w:eastAsia="nl-NL" w:bidi="th-TH"/>
        </w:rPr>
        <w:t>De kleine lettertjes: Deze grafiek toont het gemiddelde jaarlijkse rendement over periodes van twintig jaar voor beleggen en sparen. Berekeningen door Brand New Day. Data voor beleggen komt van de S&amp;P500 Index (in USD, vanaf 1928 tot en met 1969), de MSCI World Index (in USD, vanaf 1970 tot en met 2004) en de MSCI World Index (</w:t>
      </w:r>
      <w:proofErr w:type="spellStart"/>
      <w:r w:rsidRPr="00BB3454">
        <w:rPr>
          <w:rFonts w:ascii="Arial" w:eastAsia="Times New Roman" w:hAnsi="Arial" w:cs="Arial"/>
          <w:i/>
          <w:iCs/>
          <w:color w:val="333333"/>
          <w:sz w:val="20"/>
          <w:szCs w:val="20"/>
          <w:bdr w:val="none" w:sz="0" w:space="0" w:color="auto" w:frame="1"/>
          <w:lang w:eastAsia="nl-NL" w:bidi="th-TH"/>
        </w:rPr>
        <w:t>gehedged</w:t>
      </w:r>
      <w:proofErr w:type="spellEnd"/>
      <w:r w:rsidRPr="00BB3454">
        <w:rPr>
          <w:rFonts w:ascii="Arial" w:eastAsia="Times New Roman" w:hAnsi="Arial" w:cs="Arial"/>
          <w:i/>
          <w:iCs/>
          <w:color w:val="333333"/>
          <w:sz w:val="20"/>
          <w:szCs w:val="20"/>
          <w:bdr w:val="none" w:sz="0" w:space="0" w:color="auto" w:frame="1"/>
          <w:lang w:eastAsia="nl-NL" w:bidi="th-TH"/>
        </w:rPr>
        <w:t xml:space="preserve"> naar euro’s, vanaf 2005 tot en met 2018). Data voor sparen betreft het rendement op Amerikaanse T-</w:t>
      </w:r>
      <w:proofErr w:type="spellStart"/>
      <w:r w:rsidRPr="00BB3454">
        <w:rPr>
          <w:rFonts w:ascii="Arial" w:eastAsia="Times New Roman" w:hAnsi="Arial" w:cs="Arial"/>
          <w:i/>
          <w:iCs/>
          <w:color w:val="333333"/>
          <w:sz w:val="20"/>
          <w:szCs w:val="20"/>
          <w:bdr w:val="none" w:sz="0" w:space="0" w:color="auto" w:frame="1"/>
          <w:lang w:eastAsia="nl-NL" w:bidi="th-TH"/>
        </w:rPr>
        <w:t>bills</w:t>
      </w:r>
      <w:proofErr w:type="spellEnd"/>
      <w:r w:rsidRPr="00BB3454">
        <w:rPr>
          <w:rFonts w:ascii="Arial" w:eastAsia="Times New Roman" w:hAnsi="Arial" w:cs="Arial"/>
          <w:i/>
          <w:iCs/>
          <w:color w:val="333333"/>
          <w:sz w:val="20"/>
          <w:szCs w:val="20"/>
          <w:bdr w:val="none" w:sz="0" w:space="0" w:color="auto" w:frame="1"/>
          <w:lang w:eastAsia="nl-NL" w:bidi="th-TH"/>
        </w:rPr>
        <w:t xml:space="preserve"> (in USD, vanaf 1928 tot en met 2002) en de gemiddelde jaarlijkse rente op Nederlandse spaarrekeningen zonder vaste looptijd (bron: DNB, vanaf 2003 tot en met 2018). Deze berekeningen zijn exclusief eventuele kosten die het rendement op beide categorieën kunnen verlagen.</w:t>
      </w:r>
    </w:p>
    <w:p w14:paraId="7FBA0773" w14:textId="1EBCBBF8" w:rsidR="00BF3EEB" w:rsidRDefault="00BF3EEB" w:rsidP="00BF3EEB">
      <w:pPr>
        <w:spacing w:line="240" w:lineRule="atLeast"/>
        <w:textAlignment w:val="baseline"/>
        <w:outlineLvl w:val="5"/>
        <w:rPr>
          <w:rFonts w:ascii="Arial" w:eastAsia="Times New Roman" w:hAnsi="Arial" w:cs="Arial"/>
          <w:color w:val="333333"/>
          <w:sz w:val="20"/>
          <w:szCs w:val="20"/>
          <w:lang w:eastAsia="nl-NL" w:bidi="th-TH"/>
        </w:rPr>
      </w:pPr>
    </w:p>
    <w:p w14:paraId="51CBD753" w14:textId="77777777" w:rsidR="00BF3EEB" w:rsidRDefault="00BF3EEB" w:rsidP="00510245">
      <w:pPr>
        <w:spacing w:after="600" w:line="480" w:lineRule="atLeast"/>
        <w:textAlignment w:val="baseline"/>
        <w:rPr>
          <w:rFonts w:ascii="Arial" w:eastAsia="Times New Roman" w:hAnsi="Arial" w:cs="Arial"/>
          <w:color w:val="333333"/>
          <w:sz w:val="27"/>
          <w:szCs w:val="27"/>
          <w:lang w:eastAsia="nl-NL" w:bidi="th-TH"/>
        </w:rPr>
      </w:pPr>
    </w:p>
    <w:p w14:paraId="58924E65" w14:textId="605F9039" w:rsidR="00B833D5" w:rsidRPr="00510245" w:rsidRDefault="00BB3454" w:rsidP="00510245">
      <w:pPr>
        <w:spacing w:after="600" w:line="480" w:lineRule="atLeast"/>
        <w:textAlignment w:val="baseline"/>
        <w:rPr>
          <w:rFonts w:ascii="Arial" w:eastAsia="Times New Roman" w:hAnsi="Arial" w:cs="Arial"/>
          <w:color w:val="333333"/>
          <w:sz w:val="27"/>
          <w:szCs w:val="27"/>
          <w:lang w:eastAsia="nl-NL" w:bidi="th-TH"/>
        </w:rPr>
      </w:pPr>
      <w:r>
        <w:rPr>
          <w:rFonts w:ascii="Arial" w:eastAsia="Times New Roman" w:hAnsi="Arial" w:cs="Arial"/>
          <w:color w:val="333333"/>
          <w:sz w:val="27"/>
          <w:szCs w:val="27"/>
          <w:lang w:eastAsia="nl-NL" w:bidi="th-TH"/>
        </w:rPr>
        <w:t>De</w:t>
      </w:r>
      <w:r w:rsidRPr="00BB3454">
        <w:rPr>
          <w:rFonts w:ascii="Arial" w:eastAsia="Times New Roman" w:hAnsi="Arial" w:cs="Arial"/>
          <w:color w:val="333333"/>
          <w:sz w:val="27"/>
          <w:szCs w:val="27"/>
          <w:lang w:eastAsia="nl-NL" w:bidi="th-TH"/>
        </w:rPr>
        <w:t xml:space="preserve"> bovenstaande cijfers bieden</w:t>
      </w:r>
      <w:r>
        <w:rPr>
          <w:rFonts w:ascii="Arial" w:eastAsia="Times New Roman" w:hAnsi="Arial" w:cs="Arial"/>
          <w:color w:val="333333"/>
          <w:sz w:val="27"/>
          <w:szCs w:val="27"/>
          <w:lang w:eastAsia="nl-NL" w:bidi="th-TH"/>
        </w:rPr>
        <w:t xml:space="preserve"> uiteraard</w:t>
      </w:r>
      <w:r w:rsidRPr="00BB3454">
        <w:rPr>
          <w:rFonts w:ascii="Arial" w:eastAsia="Times New Roman" w:hAnsi="Arial" w:cs="Arial"/>
          <w:color w:val="333333"/>
          <w:sz w:val="27"/>
          <w:szCs w:val="27"/>
          <w:lang w:eastAsia="nl-NL" w:bidi="th-TH"/>
        </w:rPr>
        <w:t xml:space="preserve"> geen garantie voor de toekomst. Maar koersdalingen zijn er al</w:t>
      </w:r>
      <w:r>
        <w:rPr>
          <w:rFonts w:ascii="Arial" w:eastAsia="Times New Roman" w:hAnsi="Arial" w:cs="Arial"/>
          <w:color w:val="333333"/>
          <w:sz w:val="27"/>
          <w:szCs w:val="27"/>
          <w:lang w:eastAsia="nl-NL" w:bidi="th-TH"/>
        </w:rPr>
        <w:t xml:space="preserve"> </w:t>
      </w:r>
      <w:r w:rsidRPr="00BB3454">
        <w:rPr>
          <w:rFonts w:ascii="Arial" w:eastAsia="Times New Roman" w:hAnsi="Arial" w:cs="Arial"/>
          <w:color w:val="333333"/>
          <w:sz w:val="27"/>
          <w:szCs w:val="27"/>
          <w:lang w:eastAsia="nl-NL" w:bidi="th-TH"/>
        </w:rPr>
        <w:t xml:space="preserve">sinds aandelen verhandelbaar zijn. We zagen het in 1987, in 2000 en in 2018. </w:t>
      </w:r>
      <w:r>
        <w:rPr>
          <w:rFonts w:ascii="Arial" w:eastAsia="Times New Roman" w:hAnsi="Arial" w:cs="Arial"/>
          <w:color w:val="333333"/>
          <w:sz w:val="27"/>
          <w:szCs w:val="27"/>
          <w:lang w:eastAsia="nl-NL" w:bidi="th-TH"/>
        </w:rPr>
        <w:t>En na die jaren volgde herstel</w:t>
      </w:r>
      <w:r w:rsidRPr="00BB3454">
        <w:rPr>
          <w:rFonts w:ascii="Arial" w:eastAsia="Times New Roman" w:hAnsi="Arial" w:cs="Arial"/>
          <w:color w:val="333333"/>
          <w:sz w:val="27"/>
          <w:szCs w:val="27"/>
          <w:lang w:eastAsia="nl-NL" w:bidi="th-TH"/>
        </w:rPr>
        <w:t xml:space="preserve">. Niemand weet hoe lang onrustige tijden aanhouden. Misschien een dag, misschien een maand, misschien een jaar. </w:t>
      </w:r>
      <w:r>
        <w:rPr>
          <w:rFonts w:ascii="Arial" w:eastAsia="Times New Roman" w:hAnsi="Arial" w:cs="Arial"/>
          <w:color w:val="333333"/>
          <w:sz w:val="27"/>
          <w:szCs w:val="27"/>
          <w:lang w:eastAsia="nl-NL" w:bidi="th-TH"/>
        </w:rPr>
        <w:t xml:space="preserve">In het verleden duurde het herstel van de beurzen soms zelfs langer dan een jaar. Heeft u een lange beleggingshorizon? Dan </w:t>
      </w:r>
      <w:r w:rsidR="00510245">
        <w:rPr>
          <w:rFonts w:ascii="Arial" w:eastAsia="Times New Roman" w:hAnsi="Arial" w:cs="Arial"/>
          <w:color w:val="333333"/>
          <w:sz w:val="27"/>
          <w:szCs w:val="27"/>
          <w:lang w:eastAsia="nl-NL" w:bidi="th-TH"/>
        </w:rPr>
        <w:t>is er volgens de cijfers uit het verleden een grote kans dat de waarde van uw beleggingen zich weer herstelt. Het is daarom belangrijk om de lange termijn voor ogen te houden en om niet te handelen uit angst. Die angst is in de meeste gevallen namelijk een slechte raadgever.</w:t>
      </w:r>
    </w:p>
    <w:sectPr w:rsidR="00B833D5" w:rsidRPr="00510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2344" w14:textId="77777777" w:rsidR="00BF3EEB" w:rsidRDefault="00BF3EEB" w:rsidP="00BF3EEB">
      <w:pPr>
        <w:spacing w:after="0" w:line="240" w:lineRule="auto"/>
      </w:pPr>
      <w:r>
        <w:separator/>
      </w:r>
    </w:p>
  </w:endnote>
  <w:endnote w:type="continuationSeparator" w:id="0">
    <w:p w14:paraId="5358A4F9" w14:textId="77777777" w:rsidR="00BF3EEB" w:rsidRDefault="00BF3EEB" w:rsidP="00BF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4292" w14:textId="77777777" w:rsidR="00BF3EEB" w:rsidRDefault="00BF3EEB" w:rsidP="00BF3EEB">
      <w:pPr>
        <w:spacing w:after="0" w:line="240" w:lineRule="auto"/>
      </w:pPr>
      <w:r>
        <w:separator/>
      </w:r>
    </w:p>
  </w:footnote>
  <w:footnote w:type="continuationSeparator" w:id="0">
    <w:p w14:paraId="0FAB8718" w14:textId="77777777" w:rsidR="00BF3EEB" w:rsidRDefault="00BF3EEB" w:rsidP="00BF3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54"/>
    <w:rsid w:val="00510245"/>
    <w:rsid w:val="00662199"/>
    <w:rsid w:val="00773E81"/>
    <w:rsid w:val="00B833D5"/>
    <w:rsid w:val="00BB3454"/>
    <w:rsid w:val="00BF3EEB"/>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A511B"/>
  <w15:chartTrackingRefBased/>
  <w15:docId w15:val="{02B4342E-AB70-4790-A0EF-73279550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3454"/>
    <w:pPr>
      <w:spacing w:before="100" w:beforeAutospacing="1" w:after="100" w:afterAutospacing="1" w:line="240" w:lineRule="auto"/>
      <w:outlineLvl w:val="1"/>
    </w:pPr>
    <w:rPr>
      <w:rFonts w:ascii="Times New Roman" w:eastAsia="Times New Roman" w:hAnsi="Times New Roman" w:cs="Times New Roman"/>
      <w:b/>
      <w:bCs/>
      <w:sz w:val="36"/>
      <w:szCs w:val="36"/>
      <w:lang w:eastAsia="nl-NL" w:bidi="th-TH"/>
    </w:rPr>
  </w:style>
  <w:style w:type="paragraph" w:styleId="Heading6">
    <w:name w:val="heading 6"/>
    <w:basedOn w:val="Normal"/>
    <w:link w:val="Heading6Char"/>
    <w:uiPriority w:val="9"/>
    <w:qFormat/>
    <w:rsid w:val="00BB3454"/>
    <w:pPr>
      <w:spacing w:before="100" w:beforeAutospacing="1" w:after="100" w:afterAutospacing="1" w:line="240" w:lineRule="auto"/>
      <w:outlineLvl w:val="5"/>
    </w:pPr>
    <w:rPr>
      <w:rFonts w:ascii="Times New Roman" w:eastAsia="Times New Roman" w:hAnsi="Times New Roman" w:cs="Times New Roman"/>
      <w:b/>
      <w:bCs/>
      <w:sz w:val="15"/>
      <w:szCs w:val="15"/>
      <w:lang w:eastAsia="nl-NL"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454"/>
    <w:rPr>
      <w:rFonts w:ascii="Times New Roman" w:eastAsia="Times New Roman" w:hAnsi="Times New Roman" w:cs="Times New Roman"/>
      <w:b/>
      <w:bCs/>
      <w:sz w:val="36"/>
      <w:szCs w:val="36"/>
      <w:lang w:eastAsia="nl-NL" w:bidi="th-TH"/>
    </w:rPr>
  </w:style>
  <w:style w:type="character" w:customStyle="1" w:styleId="Heading6Char">
    <w:name w:val="Heading 6 Char"/>
    <w:basedOn w:val="DefaultParagraphFont"/>
    <w:link w:val="Heading6"/>
    <w:uiPriority w:val="9"/>
    <w:rsid w:val="00BB3454"/>
    <w:rPr>
      <w:rFonts w:ascii="Times New Roman" w:eastAsia="Times New Roman" w:hAnsi="Times New Roman" w:cs="Times New Roman"/>
      <w:b/>
      <w:bCs/>
      <w:sz w:val="15"/>
      <w:szCs w:val="15"/>
      <w:lang w:eastAsia="nl-NL" w:bidi="th-TH"/>
    </w:rPr>
  </w:style>
  <w:style w:type="paragraph" w:styleId="NormalWeb">
    <w:name w:val="Normal (Web)"/>
    <w:basedOn w:val="Normal"/>
    <w:uiPriority w:val="99"/>
    <w:semiHidden/>
    <w:unhideWhenUsed/>
    <w:rsid w:val="00BB3454"/>
    <w:pPr>
      <w:spacing w:before="100" w:beforeAutospacing="1" w:after="100" w:afterAutospacing="1" w:line="240" w:lineRule="auto"/>
    </w:pPr>
    <w:rPr>
      <w:rFonts w:ascii="Times New Roman" w:eastAsia="Times New Roman" w:hAnsi="Times New Roman" w:cs="Times New Roman"/>
      <w:sz w:val="24"/>
      <w:szCs w:val="24"/>
      <w:lang w:eastAsia="nl-NL" w:bidi="th-TH"/>
    </w:rPr>
  </w:style>
  <w:style w:type="character" w:styleId="Strong">
    <w:name w:val="Strong"/>
    <w:basedOn w:val="DefaultParagraphFont"/>
    <w:uiPriority w:val="22"/>
    <w:qFormat/>
    <w:rsid w:val="00BB3454"/>
    <w:rPr>
      <w:b/>
      <w:bCs/>
    </w:rPr>
  </w:style>
  <w:style w:type="character" w:styleId="Emphasis">
    <w:name w:val="Emphasis"/>
    <w:basedOn w:val="DefaultParagraphFont"/>
    <w:uiPriority w:val="20"/>
    <w:qFormat/>
    <w:rsid w:val="00BB3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83483">
      <w:bodyDiv w:val="1"/>
      <w:marLeft w:val="0"/>
      <w:marRight w:val="0"/>
      <w:marTop w:val="0"/>
      <w:marBottom w:val="0"/>
      <w:divBdr>
        <w:top w:val="none" w:sz="0" w:space="0" w:color="auto"/>
        <w:left w:val="none" w:sz="0" w:space="0" w:color="auto"/>
        <w:bottom w:val="none" w:sz="0" w:space="0" w:color="auto"/>
        <w:right w:val="none" w:sz="0" w:space="0" w:color="auto"/>
      </w:divBdr>
      <w:divsChild>
        <w:div w:id="368841524">
          <w:marLeft w:val="-225"/>
          <w:marRight w:val="-225"/>
          <w:marTop w:val="0"/>
          <w:marBottom w:val="0"/>
          <w:divBdr>
            <w:top w:val="none" w:sz="0" w:space="0" w:color="auto"/>
            <w:left w:val="none" w:sz="0" w:space="0" w:color="auto"/>
            <w:bottom w:val="none" w:sz="0" w:space="0" w:color="auto"/>
            <w:right w:val="none" w:sz="0" w:space="0" w:color="auto"/>
          </w:divBdr>
          <w:divsChild>
            <w:div w:id="572474970">
              <w:marLeft w:val="0"/>
              <w:marRight w:val="0"/>
              <w:marTop w:val="0"/>
              <w:marBottom w:val="0"/>
              <w:divBdr>
                <w:top w:val="none" w:sz="0" w:space="0" w:color="auto"/>
                <w:left w:val="none" w:sz="0" w:space="0" w:color="auto"/>
                <w:bottom w:val="none" w:sz="0" w:space="0" w:color="auto"/>
                <w:right w:val="none" w:sz="0" w:space="0" w:color="auto"/>
              </w:divBdr>
              <w:divsChild>
                <w:div w:id="1530948887">
                  <w:marLeft w:val="-225"/>
                  <w:marRight w:val="-225"/>
                  <w:marTop w:val="0"/>
                  <w:marBottom w:val="0"/>
                  <w:divBdr>
                    <w:top w:val="none" w:sz="0" w:space="0" w:color="auto"/>
                    <w:left w:val="none" w:sz="0" w:space="0" w:color="auto"/>
                    <w:bottom w:val="none" w:sz="0" w:space="0" w:color="auto"/>
                    <w:right w:val="none" w:sz="0" w:space="0" w:color="auto"/>
                  </w:divBdr>
                  <w:divsChild>
                    <w:div w:id="1749769528">
                      <w:marLeft w:val="0"/>
                      <w:marRight w:val="0"/>
                      <w:marTop w:val="0"/>
                      <w:marBottom w:val="0"/>
                      <w:divBdr>
                        <w:top w:val="none" w:sz="0" w:space="0" w:color="auto"/>
                        <w:left w:val="none" w:sz="0" w:space="0" w:color="auto"/>
                        <w:bottom w:val="none" w:sz="0" w:space="0" w:color="auto"/>
                        <w:right w:val="none" w:sz="0" w:space="0" w:color="auto"/>
                      </w:divBdr>
                      <w:divsChild>
                        <w:div w:id="520122892">
                          <w:marLeft w:val="0"/>
                          <w:marRight w:val="0"/>
                          <w:marTop w:val="0"/>
                          <w:marBottom w:val="0"/>
                          <w:divBdr>
                            <w:top w:val="none" w:sz="0" w:space="0" w:color="auto"/>
                            <w:left w:val="none" w:sz="0" w:space="0" w:color="auto"/>
                            <w:bottom w:val="none" w:sz="0" w:space="0" w:color="auto"/>
                            <w:right w:val="none" w:sz="0" w:space="0" w:color="auto"/>
                          </w:divBdr>
                          <w:divsChild>
                            <w:div w:id="592275691">
                              <w:marLeft w:val="0"/>
                              <w:marRight w:val="0"/>
                              <w:marTop w:val="0"/>
                              <w:marBottom w:val="0"/>
                              <w:divBdr>
                                <w:top w:val="none" w:sz="0" w:space="0" w:color="auto"/>
                                <w:left w:val="none" w:sz="0" w:space="0" w:color="auto"/>
                                <w:bottom w:val="none" w:sz="0" w:space="0" w:color="auto"/>
                                <w:right w:val="none" w:sz="0" w:space="0" w:color="auto"/>
                              </w:divBdr>
                              <w:divsChild>
                                <w:div w:id="1913545729">
                                  <w:marLeft w:val="-225"/>
                                  <w:marRight w:val="-225"/>
                                  <w:marTop w:val="0"/>
                                  <w:marBottom w:val="0"/>
                                  <w:divBdr>
                                    <w:top w:val="none" w:sz="0" w:space="0" w:color="auto"/>
                                    <w:left w:val="none" w:sz="0" w:space="0" w:color="auto"/>
                                    <w:bottom w:val="none" w:sz="0" w:space="0" w:color="auto"/>
                                    <w:right w:val="none" w:sz="0" w:space="0" w:color="auto"/>
                                  </w:divBdr>
                                  <w:divsChild>
                                    <w:div w:id="1235122391">
                                      <w:marLeft w:val="0"/>
                                      <w:marRight w:val="0"/>
                                      <w:marTop w:val="0"/>
                                      <w:marBottom w:val="0"/>
                                      <w:divBdr>
                                        <w:top w:val="none" w:sz="0" w:space="0" w:color="auto"/>
                                        <w:left w:val="none" w:sz="0" w:space="0" w:color="auto"/>
                                        <w:bottom w:val="none" w:sz="0" w:space="0" w:color="auto"/>
                                        <w:right w:val="none" w:sz="0" w:space="0" w:color="auto"/>
                                      </w:divBdr>
                                      <w:divsChild>
                                        <w:div w:id="84501720">
                                          <w:marLeft w:val="0"/>
                                          <w:marRight w:val="0"/>
                                          <w:marTop w:val="0"/>
                                          <w:marBottom w:val="0"/>
                                          <w:divBdr>
                                            <w:top w:val="none" w:sz="0" w:space="0" w:color="auto"/>
                                            <w:left w:val="none" w:sz="0" w:space="0" w:color="auto"/>
                                            <w:bottom w:val="none" w:sz="0" w:space="0" w:color="auto"/>
                                            <w:right w:val="none" w:sz="0" w:space="0" w:color="auto"/>
                                          </w:divBdr>
                                          <w:divsChild>
                                            <w:div w:id="1700856705">
                                              <w:marLeft w:val="0"/>
                                              <w:marRight w:val="0"/>
                                              <w:marTop w:val="0"/>
                                              <w:marBottom w:val="0"/>
                                              <w:divBdr>
                                                <w:top w:val="none" w:sz="0" w:space="0" w:color="auto"/>
                                                <w:left w:val="none" w:sz="0" w:space="0" w:color="auto"/>
                                                <w:bottom w:val="none" w:sz="0" w:space="0" w:color="auto"/>
                                                <w:right w:val="none" w:sz="0" w:space="0" w:color="auto"/>
                                              </w:divBdr>
                                              <w:divsChild>
                                                <w:div w:id="898444537">
                                                  <w:marLeft w:val="0"/>
                                                  <w:marRight w:val="0"/>
                                                  <w:marTop w:val="0"/>
                                                  <w:marBottom w:val="0"/>
                                                  <w:divBdr>
                                                    <w:top w:val="none" w:sz="0" w:space="0" w:color="auto"/>
                                                    <w:left w:val="none" w:sz="0" w:space="0" w:color="auto"/>
                                                    <w:bottom w:val="none" w:sz="0" w:space="0" w:color="auto"/>
                                                    <w:right w:val="none" w:sz="0" w:space="0" w:color="auto"/>
                                                  </w:divBdr>
                                                  <w:divsChild>
                                                    <w:div w:id="608783016">
                                                      <w:marLeft w:val="0"/>
                                                      <w:marRight w:val="0"/>
                                                      <w:marTop w:val="0"/>
                                                      <w:marBottom w:val="525"/>
                                                      <w:divBdr>
                                                        <w:top w:val="none" w:sz="0" w:space="0" w:color="auto"/>
                                                        <w:left w:val="none" w:sz="0" w:space="0" w:color="auto"/>
                                                        <w:bottom w:val="none" w:sz="0" w:space="0" w:color="auto"/>
                                                        <w:right w:val="none" w:sz="0" w:space="0" w:color="auto"/>
                                                      </w:divBdr>
                                                      <w:divsChild>
                                                        <w:div w:id="2731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376103">
          <w:marLeft w:val="-225"/>
          <w:marRight w:val="-225"/>
          <w:marTop w:val="0"/>
          <w:marBottom w:val="0"/>
          <w:divBdr>
            <w:top w:val="none" w:sz="0" w:space="0" w:color="auto"/>
            <w:left w:val="none" w:sz="0" w:space="0" w:color="auto"/>
            <w:bottom w:val="none" w:sz="0" w:space="0" w:color="auto"/>
            <w:right w:val="none" w:sz="0" w:space="0" w:color="auto"/>
          </w:divBdr>
          <w:divsChild>
            <w:div w:id="1356730722">
              <w:marLeft w:val="0"/>
              <w:marRight w:val="0"/>
              <w:marTop w:val="0"/>
              <w:marBottom w:val="0"/>
              <w:divBdr>
                <w:top w:val="none" w:sz="0" w:space="0" w:color="auto"/>
                <w:left w:val="none" w:sz="0" w:space="0" w:color="auto"/>
                <w:bottom w:val="none" w:sz="0" w:space="0" w:color="auto"/>
                <w:right w:val="none" w:sz="0" w:space="0" w:color="auto"/>
              </w:divBdr>
              <w:divsChild>
                <w:div w:id="477957383">
                  <w:marLeft w:val="-225"/>
                  <w:marRight w:val="-225"/>
                  <w:marTop w:val="0"/>
                  <w:marBottom w:val="0"/>
                  <w:divBdr>
                    <w:top w:val="none" w:sz="0" w:space="0" w:color="auto"/>
                    <w:left w:val="none" w:sz="0" w:space="0" w:color="auto"/>
                    <w:bottom w:val="none" w:sz="0" w:space="0" w:color="auto"/>
                    <w:right w:val="none" w:sz="0" w:space="0" w:color="auto"/>
                  </w:divBdr>
                  <w:divsChild>
                    <w:div w:id="1848326499">
                      <w:marLeft w:val="0"/>
                      <w:marRight w:val="0"/>
                      <w:marTop w:val="0"/>
                      <w:marBottom w:val="0"/>
                      <w:divBdr>
                        <w:top w:val="none" w:sz="0" w:space="0" w:color="auto"/>
                        <w:left w:val="none" w:sz="0" w:space="0" w:color="auto"/>
                        <w:bottom w:val="none" w:sz="0" w:space="0" w:color="auto"/>
                        <w:right w:val="none" w:sz="0" w:space="0" w:color="auto"/>
                      </w:divBdr>
                      <w:divsChild>
                        <w:div w:id="284384465">
                          <w:marLeft w:val="0"/>
                          <w:marRight w:val="0"/>
                          <w:marTop w:val="0"/>
                          <w:marBottom w:val="0"/>
                          <w:divBdr>
                            <w:top w:val="none" w:sz="0" w:space="0" w:color="auto"/>
                            <w:left w:val="none" w:sz="0" w:space="0" w:color="auto"/>
                            <w:bottom w:val="none" w:sz="0" w:space="0" w:color="auto"/>
                            <w:right w:val="none" w:sz="0" w:space="0" w:color="auto"/>
                          </w:divBdr>
                          <w:divsChild>
                            <w:div w:id="21980294">
                              <w:marLeft w:val="0"/>
                              <w:marRight w:val="0"/>
                              <w:marTop w:val="0"/>
                              <w:marBottom w:val="0"/>
                              <w:divBdr>
                                <w:top w:val="none" w:sz="0" w:space="0" w:color="auto"/>
                                <w:left w:val="none" w:sz="0" w:space="0" w:color="auto"/>
                                <w:bottom w:val="none" w:sz="0" w:space="0" w:color="auto"/>
                                <w:right w:val="none" w:sz="0" w:space="0" w:color="auto"/>
                              </w:divBdr>
                              <w:divsChild>
                                <w:div w:id="841701102">
                                  <w:marLeft w:val="-225"/>
                                  <w:marRight w:val="-225"/>
                                  <w:marTop w:val="0"/>
                                  <w:marBottom w:val="0"/>
                                  <w:divBdr>
                                    <w:top w:val="none" w:sz="0" w:space="0" w:color="auto"/>
                                    <w:left w:val="none" w:sz="0" w:space="0" w:color="auto"/>
                                    <w:bottom w:val="none" w:sz="0" w:space="0" w:color="auto"/>
                                    <w:right w:val="none" w:sz="0" w:space="0" w:color="auto"/>
                                  </w:divBdr>
                                  <w:divsChild>
                                    <w:div w:id="2128818407">
                                      <w:marLeft w:val="0"/>
                                      <w:marRight w:val="0"/>
                                      <w:marTop w:val="0"/>
                                      <w:marBottom w:val="0"/>
                                      <w:divBdr>
                                        <w:top w:val="none" w:sz="0" w:space="0" w:color="auto"/>
                                        <w:left w:val="none" w:sz="0" w:space="0" w:color="auto"/>
                                        <w:bottom w:val="none" w:sz="0" w:space="0" w:color="auto"/>
                                        <w:right w:val="none" w:sz="0" w:space="0" w:color="auto"/>
                                      </w:divBdr>
                                      <w:divsChild>
                                        <w:div w:id="1246307581">
                                          <w:marLeft w:val="0"/>
                                          <w:marRight w:val="0"/>
                                          <w:marTop w:val="0"/>
                                          <w:marBottom w:val="0"/>
                                          <w:divBdr>
                                            <w:top w:val="none" w:sz="0" w:space="0" w:color="auto"/>
                                            <w:left w:val="none" w:sz="0" w:space="0" w:color="auto"/>
                                            <w:bottom w:val="none" w:sz="0" w:space="0" w:color="auto"/>
                                            <w:right w:val="none" w:sz="0" w:space="0" w:color="auto"/>
                                          </w:divBdr>
                                          <w:divsChild>
                                            <w:div w:id="30040830">
                                              <w:marLeft w:val="0"/>
                                              <w:marRight w:val="0"/>
                                              <w:marTop w:val="0"/>
                                              <w:marBottom w:val="0"/>
                                              <w:divBdr>
                                                <w:top w:val="none" w:sz="0" w:space="0" w:color="auto"/>
                                                <w:left w:val="none" w:sz="0" w:space="0" w:color="auto"/>
                                                <w:bottom w:val="none" w:sz="0" w:space="0" w:color="auto"/>
                                                <w:right w:val="none" w:sz="0" w:space="0" w:color="auto"/>
                                              </w:divBdr>
                                              <w:divsChild>
                                                <w:div w:id="217478602">
                                                  <w:marLeft w:val="0"/>
                                                  <w:marRight w:val="0"/>
                                                  <w:marTop w:val="0"/>
                                                  <w:marBottom w:val="0"/>
                                                  <w:divBdr>
                                                    <w:top w:val="none" w:sz="0" w:space="0" w:color="auto"/>
                                                    <w:left w:val="none" w:sz="0" w:space="0" w:color="auto"/>
                                                    <w:bottom w:val="none" w:sz="0" w:space="0" w:color="auto"/>
                                                    <w:right w:val="none" w:sz="0" w:space="0" w:color="auto"/>
                                                  </w:divBdr>
                                                  <w:divsChild>
                                                    <w:div w:id="1094013453">
                                                      <w:marLeft w:val="0"/>
                                                      <w:marRight w:val="0"/>
                                                      <w:marTop w:val="0"/>
                                                      <w:marBottom w:val="525"/>
                                                      <w:divBdr>
                                                        <w:top w:val="none" w:sz="0" w:space="0" w:color="auto"/>
                                                        <w:left w:val="none" w:sz="0" w:space="0" w:color="auto"/>
                                                        <w:bottom w:val="none" w:sz="0" w:space="0" w:color="auto"/>
                                                        <w:right w:val="none" w:sz="0" w:space="0" w:color="auto"/>
                                                      </w:divBdr>
                                                      <w:divsChild>
                                                        <w:div w:id="1222136446">
                                                          <w:marLeft w:val="0"/>
                                                          <w:marRight w:val="0"/>
                                                          <w:marTop w:val="0"/>
                                                          <w:marBottom w:val="0"/>
                                                          <w:divBdr>
                                                            <w:top w:val="none" w:sz="0" w:space="0" w:color="auto"/>
                                                            <w:left w:val="none" w:sz="0" w:space="0" w:color="auto"/>
                                                            <w:bottom w:val="none" w:sz="0" w:space="0" w:color="auto"/>
                                                            <w:right w:val="none" w:sz="0" w:space="0" w:color="auto"/>
                                                          </w:divBdr>
                                                        </w:div>
                                                      </w:divsChild>
                                                    </w:div>
                                                    <w:div w:id="1761172171">
                                                      <w:marLeft w:val="0"/>
                                                      <w:marRight w:val="0"/>
                                                      <w:marTop w:val="0"/>
                                                      <w:marBottom w:val="525"/>
                                                      <w:divBdr>
                                                        <w:top w:val="none" w:sz="0" w:space="0" w:color="auto"/>
                                                        <w:left w:val="none" w:sz="0" w:space="0" w:color="auto"/>
                                                        <w:bottom w:val="none" w:sz="0" w:space="0" w:color="auto"/>
                                                        <w:right w:val="none" w:sz="0" w:space="0" w:color="auto"/>
                                                      </w:divBdr>
                                                      <w:divsChild>
                                                        <w:div w:id="1962878741">
                                                          <w:marLeft w:val="0"/>
                                                          <w:marRight w:val="0"/>
                                                          <w:marTop w:val="0"/>
                                                          <w:marBottom w:val="0"/>
                                                          <w:divBdr>
                                                            <w:top w:val="none" w:sz="0" w:space="0" w:color="auto"/>
                                                            <w:left w:val="none" w:sz="0" w:space="0" w:color="auto"/>
                                                            <w:bottom w:val="none" w:sz="0" w:space="0" w:color="auto"/>
                                                            <w:right w:val="none" w:sz="0" w:space="0" w:color="auto"/>
                                                          </w:divBdr>
                                                        </w:div>
                                                      </w:divsChild>
                                                    </w:div>
                                                    <w:div w:id="344594987">
                                                      <w:marLeft w:val="0"/>
                                                      <w:marRight w:val="0"/>
                                                      <w:marTop w:val="0"/>
                                                      <w:marBottom w:val="525"/>
                                                      <w:divBdr>
                                                        <w:top w:val="none" w:sz="0" w:space="0" w:color="auto"/>
                                                        <w:left w:val="none" w:sz="0" w:space="0" w:color="auto"/>
                                                        <w:bottom w:val="none" w:sz="0" w:space="0" w:color="auto"/>
                                                        <w:right w:val="none" w:sz="0" w:space="0" w:color="auto"/>
                                                      </w:divBdr>
                                                      <w:divsChild>
                                                        <w:div w:id="927230984">
                                                          <w:marLeft w:val="0"/>
                                                          <w:marRight w:val="0"/>
                                                          <w:marTop w:val="0"/>
                                                          <w:marBottom w:val="0"/>
                                                          <w:divBdr>
                                                            <w:top w:val="none" w:sz="0" w:space="0" w:color="auto"/>
                                                            <w:left w:val="none" w:sz="0" w:space="0" w:color="auto"/>
                                                            <w:bottom w:val="none" w:sz="0" w:space="0" w:color="auto"/>
                                                            <w:right w:val="none" w:sz="0" w:space="0" w:color="auto"/>
                                                          </w:divBdr>
                                                        </w:div>
                                                      </w:divsChild>
                                                    </w:div>
                                                    <w:div w:id="88746346">
                                                      <w:marLeft w:val="0"/>
                                                      <w:marRight w:val="0"/>
                                                      <w:marTop w:val="0"/>
                                                      <w:marBottom w:val="525"/>
                                                      <w:divBdr>
                                                        <w:top w:val="none" w:sz="0" w:space="0" w:color="auto"/>
                                                        <w:left w:val="none" w:sz="0" w:space="0" w:color="auto"/>
                                                        <w:bottom w:val="none" w:sz="0" w:space="0" w:color="auto"/>
                                                        <w:right w:val="none" w:sz="0" w:space="0" w:color="auto"/>
                                                      </w:divBdr>
                                                      <w:divsChild>
                                                        <w:div w:id="282200979">
                                                          <w:marLeft w:val="0"/>
                                                          <w:marRight w:val="0"/>
                                                          <w:marTop w:val="0"/>
                                                          <w:marBottom w:val="0"/>
                                                          <w:divBdr>
                                                            <w:top w:val="none" w:sz="0" w:space="0" w:color="auto"/>
                                                            <w:left w:val="none" w:sz="0" w:space="0" w:color="auto"/>
                                                            <w:bottom w:val="none" w:sz="0" w:space="0" w:color="auto"/>
                                                            <w:right w:val="none" w:sz="0" w:space="0" w:color="auto"/>
                                                          </w:divBdr>
                                                          <w:divsChild>
                                                            <w:div w:id="20013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6430">
                                                      <w:marLeft w:val="0"/>
                                                      <w:marRight w:val="0"/>
                                                      <w:marTop w:val="0"/>
                                                      <w:marBottom w:val="525"/>
                                                      <w:divBdr>
                                                        <w:top w:val="none" w:sz="0" w:space="0" w:color="auto"/>
                                                        <w:left w:val="none" w:sz="0" w:space="0" w:color="auto"/>
                                                        <w:bottom w:val="none" w:sz="0" w:space="0" w:color="auto"/>
                                                        <w:right w:val="none" w:sz="0" w:space="0" w:color="auto"/>
                                                      </w:divBdr>
                                                      <w:divsChild>
                                                        <w:div w:id="1851597924">
                                                          <w:marLeft w:val="0"/>
                                                          <w:marRight w:val="0"/>
                                                          <w:marTop w:val="0"/>
                                                          <w:marBottom w:val="0"/>
                                                          <w:divBdr>
                                                            <w:top w:val="none" w:sz="0" w:space="0" w:color="auto"/>
                                                            <w:left w:val="none" w:sz="0" w:space="0" w:color="auto"/>
                                                            <w:bottom w:val="none" w:sz="0" w:space="0" w:color="auto"/>
                                                            <w:right w:val="none" w:sz="0" w:space="0" w:color="auto"/>
                                                          </w:divBdr>
                                                        </w:div>
                                                      </w:divsChild>
                                                    </w:div>
                                                    <w:div w:id="1823154857">
                                                      <w:marLeft w:val="0"/>
                                                      <w:marRight w:val="0"/>
                                                      <w:marTop w:val="0"/>
                                                      <w:marBottom w:val="525"/>
                                                      <w:divBdr>
                                                        <w:top w:val="none" w:sz="0" w:space="0" w:color="auto"/>
                                                        <w:left w:val="none" w:sz="0" w:space="0" w:color="auto"/>
                                                        <w:bottom w:val="none" w:sz="0" w:space="0" w:color="auto"/>
                                                        <w:right w:val="none" w:sz="0" w:space="0" w:color="auto"/>
                                                      </w:divBdr>
                                                      <w:divsChild>
                                                        <w:div w:id="1793941924">
                                                          <w:marLeft w:val="0"/>
                                                          <w:marRight w:val="0"/>
                                                          <w:marTop w:val="0"/>
                                                          <w:marBottom w:val="0"/>
                                                          <w:divBdr>
                                                            <w:top w:val="none" w:sz="0" w:space="0" w:color="auto"/>
                                                            <w:left w:val="none" w:sz="0" w:space="0" w:color="auto"/>
                                                            <w:bottom w:val="none" w:sz="0" w:space="0" w:color="auto"/>
                                                            <w:right w:val="none" w:sz="0" w:space="0" w:color="auto"/>
                                                          </w:divBdr>
                                                        </w:div>
                                                      </w:divsChild>
                                                    </w:div>
                                                    <w:div w:id="526062366">
                                                      <w:marLeft w:val="0"/>
                                                      <w:marRight w:val="0"/>
                                                      <w:marTop w:val="0"/>
                                                      <w:marBottom w:val="525"/>
                                                      <w:divBdr>
                                                        <w:top w:val="none" w:sz="0" w:space="0" w:color="auto"/>
                                                        <w:left w:val="none" w:sz="0" w:space="0" w:color="auto"/>
                                                        <w:bottom w:val="none" w:sz="0" w:space="0" w:color="auto"/>
                                                        <w:right w:val="none" w:sz="0" w:space="0" w:color="auto"/>
                                                      </w:divBdr>
                                                      <w:divsChild>
                                                        <w:div w:id="1315842305">
                                                          <w:marLeft w:val="0"/>
                                                          <w:marRight w:val="0"/>
                                                          <w:marTop w:val="0"/>
                                                          <w:marBottom w:val="0"/>
                                                          <w:divBdr>
                                                            <w:top w:val="none" w:sz="0" w:space="0" w:color="auto"/>
                                                            <w:left w:val="none" w:sz="0" w:space="0" w:color="auto"/>
                                                            <w:bottom w:val="none" w:sz="0" w:space="0" w:color="auto"/>
                                                            <w:right w:val="none" w:sz="0" w:space="0" w:color="auto"/>
                                                          </w:divBdr>
                                                          <w:divsChild>
                                                            <w:div w:id="1081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512">
                                                      <w:marLeft w:val="0"/>
                                                      <w:marRight w:val="0"/>
                                                      <w:marTop w:val="0"/>
                                                      <w:marBottom w:val="525"/>
                                                      <w:divBdr>
                                                        <w:top w:val="none" w:sz="0" w:space="0" w:color="auto"/>
                                                        <w:left w:val="none" w:sz="0" w:space="0" w:color="auto"/>
                                                        <w:bottom w:val="none" w:sz="0" w:space="0" w:color="auto"/>
                                                        <w:right w:val="none" w:sz="0" w:space="0" w:color="auto"/>
                                                      </w:divBdr>
                                                      <w:divsChild>
                                                        <w:div w:id="1633247504">
                                                          <w:marLeft w:val="0"/>
                                                          <w:marRight w:val="0"/>
                                                          <w:marTop w:val="0"/>
                                                          <w:marBottom w:val="0"/>
                                                          <w:divBdr>
                                                            <w:top w:val="none" w:sz="0" w:space="0" w:color="auto"/>
                                                            <w:left w:val="none" w:sz="0" w:space="0" w:color="auto"/>
                                                            <w:bottom w:val="none" w:sz="0" w:space="0" w:color="auto"/>
                                                            <w:right w:val="none" w:sz="0" w:space="0" w:color="auto"/>
                                                          </w:divBdr>
                                                        </w:div>
                                                      </w:divsChild>
                                                    </w:div>
                                                    <w:div w:id="1704750381">
                                                      <w:marLeft w:val="0"/>
                                                      <w:marRight w:val="0"/>
                                                      <w:marTop w:val="0"/>
                                                      <w:marBottom w:val="525"/>
                                                      <w:divBdr>
                                                        <w:top w:val="none" w:sz="0" w:space="0" w:color="auto"/>
                                                        <w:left w:val="none" w:sz="0" w:space="0" w:color="auto"/>
                                                        <w:bottom w:val="none" w:sz="0" w:space="0" w:color="auto"/>
                                                        <w:right w:val="none" w:sz="0" w:space="0" w:color="auto"/>
                                                      </w:divBdr>
                                                      <w:divsChild>
                                                        <w:div w:id="21372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801</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2</cp:revision>
  <dcterms:created xsi:type="dcterms:W3CDTF">2020-03-18T15:55:00Z</dcterms:created>
  <dcterms:modified xsi:type="dcterms:W3CDTF">2020-03-18T15:55:00Z</dcterms:modified>
</cp:coreProperties>
</file>