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6D68" w14:textId="124E810B" w:rsidR="4C28FB2E" w:rsidRDefault="4C28FB2E" w:rsidP="1EC887A7">
      <w:pPr>
        <w:pStyle w:val="Heading2"/>
      </w:pPr>
      <w:r w:rsidRPr="1EC887A7">
        <w:rPr>
          <w:rFonts w:ascii="Calibri" w:eastAsia="Calibri" w:hAnsi="Calibri" w:cs="Calibri"/>
          <w:color w:val="333333"/>
          <w:sz w:val="45"/>
          <w:szCs w:val="45"/>
          <w:lang/>
        </w:rPr>
        <w:t>Wat is het rendement op rendement-effect?</w:t>
      </w:r>
    </w:p>
    <w:p w14:paraId="515181A0" w14:textId="008C276F" w:rsidR="4C28FB2E" w:rsidRDefault="4C28FB2E">
      <w:r w:rsidRPr="1EC887A7">
        <w:rPr>
          <w:rFonts w:ascii="Calibri" w:eastAsia="Calibri" w:hAnsi="Calibri" w:cs="Calibri"/>
          <w:color w:val="333333"/>
          <w:sz w:val="27"/>
          <w:szCs w:val="27"/>
          <w:lang/>
        </w:rPr>
        <w:t>Het beste instapmoment om te beleggen heeft u helaas al lang en breed gemist. Dat was namelijk toen u net geboren werd. Dat was praktisch en wetmatig inderdaad een beetje lastig, maar alleen dan had u maximaal geprofiteerd van het rendement op rendement-effect.</w:t>
      </w:r>
    </w:p>
    <w:p w14:paraId="0B56DBD1" w14:textId="7091EFC7" w:rsidR="4C28FB2E" w:rsidRDefault="4C28FB2E" w:rsidP="1EC887A7">
      <w:pPr>
        <w:pStyle w:val="Heading4"/>
      </w:pPr>
      <w:r w:rsidRPr="1EC887A7">
        <w:rPr>
          <w:rFonts w:ascii="Calibri" w:eastAsia="Calibri" w:hAnsi="Calibri" w:cs="Calibri"/>
          <w:b/>
          <w:bCs/>
          <w:i w:val="0"/>
          <w:iCs w:val="0"/>
          <w:color w:val="333333"/>
          <w:sz w:val="30"/>
          <w:szCs w:val="30"/>
          <w:lang/>
        </w:rPr>
        <w:t xml:space="preserve">Wat is rendement? </w:t>
      </w:r>
    </w:p>
    <w:p w14:paraId="05FFEC12" w14:textId="56BCC55C" w:rsidR="4C28FB2E" w:rsidRDefault="4C28FB2E" w:rsidP="0835508B">
      <w:pPr>
        <w:rPr>
          <w:rFonts w:ascii="Calibri" w:eastAsia="Calibri" w:hAnsi="Calibri" w:cs="Calibri"/>
          <w:color w:val="333333"/>
          <w:sz w:val="27"/>
          <w:szCs w:val="27"/>
          <w:lang/>
        </w:rPr>
      </w:pPr>
      <w:r w:rsidRPr="0835508B">
        <w:rPr>
          <w:rFonts w:ascii="Calibri" w:eastAsia="Calibri" w:hAnsi="Calibri" w:cs="Calibri"/>
          <w:color w:val="333333"/>
          <w:sz w:val="27"/>
          <w:szCs w:val="27"/>
          <w:lang/>
        </w:rPr>
        <w:t>Eerst even een kort theoretisch kader. Want is rendement nu precies? Simpel gezegd is uw rendement de winst die u maakt op een belegging</w:t>
      </w:r>
      <w:r w:rsidR="1D88BEAA" w:rsidRPr="0835508B">
        <w:rPr>
          <w:rFonts w:ascii="Calibri" w:eastAsia="Calibri" w:hAnsi="Calibri" w:cs="Calibri"/>
          <w:color w:val="333333"/>
          <w:sz w:val="27"/>
          <w:szCs w:val="27"/>
          <w:lang/>
        </w:rPr>
        <w:t xml:space="preserve"> </w:t>
      </w:r>
      <w:r w:rsidR="1596D522" w:rsidRPr="0835508B">
        <w:rPr>
          <w:rFonts w:ascii="Calibri" w:eastAsia="Calibri" w:hAnsi="Calibri" w:cs="Calibri"/>
          <w:color w:val="333333"/>
          <w:sz w:val="27"/>
          <w:szCs w:val="27"/>
          <w:lang/>
        </w:rPr>
        <w:t>(na óf voor aftrek van kosten</w:t>
      </w:r>
      <w:r w:rsidR="1D88BEAA" w:rsidRPr="0835508B">
        <w:rPr>
          <w:rFonts w:ascii="Calibri" w:eastAsia="Calibri" w:hAnsi="Calibri" w:cs="Calibri"/>
          <w:color w:val="333333"/>
          <w:sz w:val="27"/>
          <w:szCs w:val="27"/>
          <w:lang/>
        </w:rPr>
        <w:t>)</w:t>
      </w:r>
      <w:r w:rsidRPr="0835508B">
        <w:rPr>
          <w:rFonts w:ascii="Calibri" w:eastAsia="Calibri" w:hAnsi="Calibri" w:cs="Calibri"/>
          <w:color w:val="333333"/>
          <w:sz w:val="27"/>
          <w:szCs w:val="27"/>
          <w:lang/>
        </w:rPr>
        <w:t>.</w:t>
      </w:r>
    </w:p>
    <w:p w14:paraId="72F36AC5" w14:textId="0B225B5E" w:rsidR="4C28FB2E" w:rsidRDefault="4C28FB2E" w:rsidP="0835508B">
      <w:pPr>
        <w:rPr>
          <w:rFonts w:ascii="Calibri" w:eastAsia="Calibri" w:hAnsi="Calibri" w:cs="Calibri"/>
          <w:color w:val="333333"/>
          <w:sz w:val="27"/>
          <w:szCs w:val="27"/>
          <w:lang/>
        </w:rPr>
      </w:pPr>
      <w:r w:rsidRPr="0835508B">
        <w:rPr>
          <w:rFonts w:ascii="Calibri" w:eastAsia="Calibri" w:hAnsi="Calibri" w:cs="Calibri"/>
          <w:color w:val="333333"/>
          <w:sz w:val="27"/>
          <w:szCs w:val="27"/>
          <w:lang/>
        </w:rPr>
        <w:t xml:space="preserve">Dus stel: u belegt eenmalig €1000 en besluit om daarna rustig te af te wachten wat de beurzen doen. Na 10 jaar vindt u het wel weer welletjes en besluit u </w:t>
      </w:r>
      <w:r w:rsidR="5CED7FB1" w:rsidRPr="0835508B">
        <w:rPr>
          <w:rFonts w:ascii="Calibri" w:eastAsia="Calibri" w:hAnsi="Calibri" w:cs="Calibri"/>
          <w:color w:val="333333"/>
          <w:sz w:val="27"/>
          <w:szCs w:val="27"/>
          <w:lang/>
        </w:rPr>
        <w:t>de belegging(en) te verkopen</w:t>
      </w:r>
      <w:r w:rsidRPr="0835508B">
        <w:rPr>
          <w:rFonts w:ascii="Calibri" w:eastAsia="Calibri" w:hAnsi="Calibri" w:cs="Calibri"/>
          <w:color w:val="333333"/>
          <w:sz w:val="27"/>
          <w:szCs w:val="27"/>
          <w:lang/>
        </w:rPr>
        <w:t xml:space="preserve">. De waarde </w:t>
      </w:r>
      <w:r w:rsidR="12F29AA6" w:rsidRPr="0835508B">
        <w:rPr>
          <w:rFonts w:ascii="Calibri" w:eastAsia="Calibri" w:hAnsi="Calibri" w:cs="Calibri"/>
          <w:color w:val="333333"/>
          <w:sz w:val="27"/>
          <w:szCs w:val="27"/>
          <w:lang/>
        </w:rPr>
        <w:t>daarvan</w:t>
      </w:r>
      <w:r w:rsidRPr="0835508B">
        <w:rPr>
          <w:rFonts w:ascii="Calibri" w:eastAsia="Calibri" w:hAnsi="Calibri" w:cs="Calibri"/>
          <w:color w:val="333333"/>
          <w:sz w:val="27"/>
          <w:szCs w:val="27"/>
          <w:lang/>
        </w:rPr>
        <w:t xml:space="preserve"> is </w:t>
      </w:r>
      <w:r w:rsidR="66B0177C" w:rsidRPr="0835508B">
        <w:rPr>
          <w:rFonts w:ascii="Calibri" w:eastAsia="Calibri" w:hAnsi="Calibri" w:cs="Calibri"/>
          <w:color w:val="333333"/>
          <w:sz w:val="27"/>
          <w:szCs w:val="27"/>
          <w:lang/>
        </w:rPr>
        <w:t xml:space="preserve">op dat moment </w:t>
      </w:r>
      <w:r w:rsidRPr="0835508B">
        <w:rPr>
          <w:rFonts w:ascii="Calibri" w:eastAsia="Calibri" w:hAnsi="Calibri" w:cs="Calibri"/>
          <w:color w:val="333333"/>
          <w:sz w:val="27"/>
          <w:szCs w:val="27"/>
          <w:lang/>
        </w:rPr>
        <w:t>€1300, na aftrek van kosten. Uw rendement? 300 euro’s.</w:t>
      </w:r>
    </w:p>
    <w:p w14:paraId="33A466CC" w14:textId="01C740AC" w:rsidR="4C28FB2E" w:rsidRDefault="4C28FB2E" w:rsidP="1EC887A7">
      <w:pPr>
        <w:pStyle w:val="Heading4"/>
      </w:pPr>
      <w:r w:rsidRPr="1EC887A7">
        <w:rPr>
          <w:rFonts w:ascii="Calibri" w:eastAsia="Calibri" w:hAnsi="Calibri" w:cs="Calibri"/>
          <w:b/>
          <w:bCs/>
          <w:i w:val="0"/>
          <w:iCs w:val="0"/>
          <w:color w:val="333333"/>
          <w:sz w:val="30"/>
          <w:szCs w:val="30"/>
          <w:lang/>
        </w:rPr>
        <w:t xml:space="preserve">Wat is rendement op rendement? </w:t>
      </w:r>
    </w:p>
    <w:p w14:paraId="7F46B78C" w14:textId="7FDE33F6" w:rsidR="4C28FB2E" w:rsidRDefault="4C28FB2E">
      <w:r w:rsidRPr="1EC887A7">
        <w:rPr>
          <w:rFonts w:ascii="Calibri" w:eastAsia="Calibri" w:hAnsi="Calibri" w:cs="Calibri"/>
          <w:color w:val="333333"/>
          <w:sz w:val="27"/>
          <w:szCs w:val="27"/>
          <w:lang/>
        </w:rPr>
        <w:t>Tot zover het simpele gedeelte. Want hoewel rendement neerkomt op de simpele som van eindkapitaal minus inleg en kosten, is er ook zoiets als rendement op rendement.</w:t>
      </w:r>
    </w:p>
    <w:p w14:paraId="5C8EEE04" w14:textId="7D9BFBF5" w:rsidR="4C28FB2E" w:rsidRDefault="4C28FB2E">
      <w:r w:rsidRPr="0835508B">
        <w:rPr>
          <w:rFonts w:ascii="Calibri" w:eastAsia="Calibri" w:hAnsi="Calibri" w:cs="Calibri"/>
          <w:color w:val="333333"/>
          <w:sz w:val="27"/>
          <w:szCs w:val="27"/>
          <w:lang/>
        </w:rPr>
        <w:t xml:space="preserve">Rendement op rendement, inderdaad. Niet het rendement op uw inleg, maar het rendement dat u… tja, op uw rendement </w:t>
      </w:r>
      <w:r w:rsidR="77BDAD11" w:rsidRPr="0835508B">
        <w:rPr>
          <w:rFonts w:ascii="Calibri" w:eastAsia="Calibri" w:hAnsi="Calibri" w:cs="Calibri"/>
          <w:color w:val="333333"/>
          <w:sz w:val="27"/>
          <w:szCs w:val="27"/>
          <w:lang/>
        </w:rPr>
        <w:t>ontvangt</w:t>
      </w:r>
      <w:r w:rsidRPr="0835508B">
        <w:rPr>
          <w:rFonts w:ascii="Calibri" w:eastAsia="Calibri" w:hAnsi="Calibri" w:cs="Calibri"/>
          <w:color w:val="333333"/>
          <w:sz w:val="27"/>
          <w:szCs w:val="27"/>
          <w:lang/>
        </w:rPr>
        <w:t>. Misschien makkelijker als we het met een voorbeeld verduidelijken:</w:t>
      </w:r>
    </w:p>
    <w:p w14:paraId="3D165738" w14:textId="43F8CA63" w:rsidR="4C28FB2E" w:rsidRDefault="4C28FB2E" w:rsidP="1EC887A7">
      <w:pPr>
        <w:pStyle w:val="ListParagraph"/>
        <w:numPr>
          <w:ilvl w:val="0"/>
          <w:numId w:val="1"/>
        </w:numPr>
        <w:rPr>
          <w:rFonts w:eastAsiaTheme="minorEastAsia"/>
          <w:color w:val="333333"/>
          <w:sz w:val="27"/>
          <w:szCs w:val="27"/>
        </w:rPr>
      </w:pPr>
      <w:r w:rsidRPr="1EC887A7">
        <w:rPr>
          <w:rFonts w:ascii="Calibri" w:eastAsia="Calibri" w:hAnsi="Calibri" w:cs="Calibri"/>
          <w:color w:val="333333"/>
          <w:sz w:val="27"/>
          <w:szCs w:val="27"/>
          <w:lang/>
        </w:rPr>
        <w:t>Stel: u neemt de €1300 van hierboven niet op, maar laat het nog even verder renderen</w:t>
      </w:r>
    </w:p>
    <w:p w14:paraId="65BC3EBC" w14:textId="5E5039CE" w:rsidR="4C28FB2E" w:rsidRDefault="4C28FB2E" w:rsidP="0835508B">
      <w:pPr>
        <w:pStyle w:val="ListParagraph"/>
        <w:numPr>
          <w:ilvl w:val="0"/>
          <w:numId w:val="1"/>
        </w:numPr>
        <w:rPr>
          <w:rFonts w:eastAsiaTheme="minorEastAsia"/>
          <w:color w:val="333333"/>
          <w:sz w:val="27"/>
          <w:szCs w:val="27"/>
        </w:rPr>
      </w:pPr>
      <w:r w:rsidRPr="0835508B">
        <w:rPr>
          <w:rFonts w:ascii="Calibri" w:eastAsia="Calibri" w:hAnsi="Calibri" w:cs="Calibri"/>
          <w:color w:val="333333"/>
          <w:sz w:val="27"/>
          <w:szCs w:val="27"/>
          <w:lang/>
        </w:rPr>
        <w:t xml:space="preserve">Jaarlijks </w:t>
      </w:r>
      <w:r w:rsidR="21F8FB47" w:rsidRPr="0835508B">
        <w:rPr>
          <w:rFonts w:ascii="Calibri" w:eastAsia="Calibri" w:hAnsi="Calibri" w:cs="Calibri"/>
          <w:color w:val="333333"/>
          <w:sz w:val="27"/>
          <w:szCs w:val="27"/>
          <w:lang/>
        </w:rPr>
        <w:t xml:space="preserve">behaalt </w:t>
      </w:r>
      <w:r w:rsidRPr="0835508B">
        <w:rPr>
          <w:rFonts w:ascii="Calibri" w:eastAsia="Calibri" w:hAnsi="Calibri" w:cs="Calibri"/>
          <w:color w:val="333333"/>
          <w:sz w:val="27"/>
          <w:szCs w:val="27"/>
          <w:lang/>
        </w:rPr>
        <w:t>u een gemiddeld rendement van 4%</w:t>
      </w:r>
    </w:p>
    <w:p w14:paraId="20D30BA2" w14:textId="3797DB3D" w:rsidR="4C28FB2E" w:rsidRDefault="4C28FB2E" w:rsidP="0835508B">
      <w:pPr>
        <w:pStyle w:val="ListParagraph"/>
        <w:numPr>
          <w:ilvl w:val="0"/>
          <w:numId w:val="1"/>
        </w:numPr>
        <w:rPr>
          <w:rFonts w:eastAsiaTheme="minorEastAsia"/>
          <w:color w:val="333333"/>
          <w:sz w:val="27"/>
          <w:szCs w:val="27"/>
          <w:lang/>
        </w:rPr>
      </w:pPr>
      <w:r w:rsidRPr="0835508B">
        <w:rPr>
          <w:rFonts w:ascii="Calibri" w:eastAsia="Calibri" w:hAnsi="Calibri" w:cs="Calibri"/>
          <w:color w:val="333333"/>
          <w:sz w:val="27"/>
          <w:szCs w:val="27"/>
          <w:lang/>
        </w:rPr>
        <w:t>Die 4% bovenop €1300 maakt dat u</w:t>
      </w:r>
      <w:r w:rsidR="4EEF8354" w:rsidRPr="0835508B">
        <w:rPr>
          <w:rFonts w:ascii="Calibri" w:eastAsia="Calibri" w:hAnsi="Calibri" w:cs="Calibri"/>
          <w:color w:val="333333"/>
          <w:sz w:val="27"/>
          <w:szCs w:val="27"/>
          <w:lang/>
        </w:rPr>
        <w:t>w rendement</w:t>
      </w:r>
      <w:r w:rsidRPr="0835508B">
        <w:rPr>
          <w:rFonts w:ascii="Calibri" w:eastAsia="Calibri" w:hAnsi="Calibri" w:cs="Calibri"/>
          <w:color w:val="333333"/>
          <w:sz w:val="27"/>
          <w:szCs w:val="27"/>
          <w:lang/>
        </w:rPr>
        <w:t xml:space="preserve"> €52 </w:t>
      </w:r>
      <w:r w:rsidR="3772BD15" w:rsidRPr="0835508B">
        <w:rPr>
          <w:rFonts w:ascii="Calibri" w:eastAsia="Calibri" w:hAnsi="Calibri" w:cs="Calibri"/>
          <w:color w:val="333333"/>
          <w:sz w:val="27"/>
          <w:szCs w:val="27"/>
          <w:lang/>
        </w:rPr>
        <w:t xml:space="preserve">is </w:t>
      </w:r>
    </w:p>
    <w:p w14:paraId="1E701DA0" w14:textId="3BD42E44" w:rsidR="4C28FB2E" w:rsidRDefault="4C28FB2E" w:rsidP="1EC887A7">
      <w:pPr>
        <w:pStyle w:val="ListParagraph"/>
        <w:numPr>
          <w:ilvl w:val="0"/>
          <w:numId w:val="1"/>
        </w:numPr>
        <w:rPr>
          <w:rFonts w:eastAsiaTheme="minorEastAsia"/>
          <w:color w:val="333333"/>
          <w:sz w:val="27"/>
          <w:szCs w:val="27"/>
        </w:rPr>
      </w:pPr>
      <w:r w:rsidRPr="1EC887A7">
        <w:rPr>
          <w:rFonts w:ascii="Calibri" w:eastAsia="Calibri" w:hAnsi="Calibri" w:cs="Calibri"/>
          <w:color w:val="333333"/>
          <w:sz w:val="27"/>
          <w:szCs w:val="27"/>
          <w:lang/>
        </w:rPr>
        <w:t>Daarvan ontvangt u €40 over uw eenmalige inleg van €1000</w:t>
      </w:r>
    </w:p>
    <w:p w14:paraId="42F14543" w14:textId="7205425E" w:rsidR="4C28FB2E" w:rsidRDefault="4C28FB2E" w:rsidP="0835508B">
      <w:pPr>
        <w:pStyle w:val="ListParagraph"/>
        <w:numPr>
          <w:ilvl w:val="0"/>
          <w:numId w:val="1"/>
        </w:numPr>
        <w:rPr>
          <w:rFonts w:eastAsiaTheme="minorEastAsia"/>
          <w:color w:val="333333"/>
          <w:sz w:val="27"/>
          <w:szCs w:val="27"/>
        </w:rPr>
      </w:pPr>
      <w:r w:rsidRPr="0835508B">
        <w:rPr>
          <w:rFonts w:ascii="Calibri" w:eastAsia="Calibri" w:hAnsi="Calibri" w:cs="Calibri"/>
          <w:color w:val="333333"/>
          <w:sz w:val="27"/>
          <w:szCs w:val="27"/>
          <w:lang/>
        </w:rPr>
        <w:t xml:space="preserve">Maar u behaalt ook 4% rendement over de €300, wat neerkomt op €12. Dat is </w:t>
      </w:r>
      <w:r w:rsidR="0D946886" w:rsidRPr="0835508B">
        <w:rPr>
          <w:rFonts w:ascii="Calibri" w:eastAsia="Calibri" w:hAnsi="Calibri" w:cs="Calibri"/>
          <w:color w:val="333333"/>
          <w:sz w:val="27"/>
          <w:szCs w:val="27"/>
          <w:lang/>
        </w:rPr>
        <w:t>rendement</w:t>
      </w:r>
      <w:r w:rsidRPr="0835508B">
        <w:rPr>
          <w:rFonts w:ascii="Calibri" w:eastAsia="Calibri" w:hAnsi="Calibri" w:cs="Calibri"/>
          <w:color w:val="333333"/>
          <w:sz w:val="27"/>
          <w:szCs w:val="27"/>
          <w:lang/>
        </w:rPr>
        <w:t xml:space="preserve"> waarvoor u </w:t>
      </w:r>
      <w:r w:rsidR="3C787F04" w:rsidRPr="0835508B">
        <w:rPr>
          <w:rFonts w:ascii="Calibri" w:eastAsia="Calibri" w:hAnsi="Calibri" w:cs="Calibri"/>
          <w:color w:val="333333"/>
          <w:sz w:val="27"/>
          <w:szCs w:val="27"/>
          <w:lang/>
        </w:rPr>
        <w:t>geen extra g</w:t>
      </w:r>
      <w:r w:rsidRPr="0835508B">
        <w:rPr>
          <w:rFonts w:ascii="Calibri" w:eastAsia="Calibri" w:hAnsi="Calibri" w:cs="Calibri"/>
          <w:color w:val="333333"/>
          <w:sz w:val="27"/>
          <w:szCs w:val="27"/>
          <w:lang/>
        </w:rPr>
        <w:t>e</w:t>
      </w:r>
      <w:r w:rsidR="3C787F04" w:rsidRPr="0835508B">
        <w:rPr>
          <w:rFonts w:ascii="Calibri" w:eastAsia="Calibri" w:hAnsi="Calibri" w:cs="Calibri"/>
          <w:color w:val="333333"/>
          <w:sz w:val="27"/>
          <w:szCs w:val="27"/>
          <w:lang/>
        </w:rPr>
        <w:t>ld hoefde in te legge</w:t>
      </w:r>
      <w:r w:rsidRPr="0835508B">
        <w:rPr>
          <w:rFonts w:ascii="Calibri" w:eastAsia="Calibri" w:hAnsi="Calibri" w:cs="Calibri"/>
          <w:color w:val="333333"/>
          <w:sz w:val="27"/>
          <w:szCs w:val="27"/>
          <w:lang/>
        </w:rPr>
        <w:t>n. Ofwel: rendement op rendement.</w:t>
      </w:r>
    </w:p>
    <w:p w14:paraId="476AAC70" w14:textId="4CD34007" w:rsidR="4C28FB2E" w:rsidRDefault="4C28FB2E">
      <w:r w:rsidRPr="1EC887A7">
        <w:rPr>
          <w:rFonts w:ascii="Calibri" w:eastAsia="Calibri" w:hAnsi="Calibri" w:cs="Calibri"/>
          <w:color w:val="333333"/>
          <w:sz w:val="27"/>
          <w:szCs w:val="27"/>
          <w:lang/>
        </w:rPr>
        <w:t>Omdat we zo lekker op dreef zijn: nog een voorbeeld. Stel: u belegt eenmalig €1000 en wacht 10 jaar lang. Ieder jaar behaalt u een rendement van 4%. De waarde na het eerste jaar beleggen is dus €1040.</w:t>
      </w:r>
    </w:p>
    <w:p w14:paraId="60D0E730" w14:textId="0BA85A74" w:rsidR="4C28FB2E" w:rsidRDefault="4C28FB2E">
      <w:r w:rsidRPr="1EC887A7">
        <w:rPr>
          <w:rFonts w:ascii="Calibri" w:eastAsia="Calibri" w:hAnsi="Calibri" w:cs="Calibri"/>
          <w:color w:val="333333"/>
          <w:sz w:val="27"/>
          <w:szCs w:val="27"/>
          <w:lang/>
        </w:rPr>
        <w:t>Het tweede jaar haalt u dus weer 4% rendement. Alleen nu niet alleen over uw inleg, maar ook over het rendement dat daarbovenop kwam. We nemen dus 4% van €1040, maakt: €1081,60.</w:t>
      </w:r>
    </w:p>
    <w:p w14:paraId="0088B06A" w14:textId="5ACC1C96" w:rsidR="4C28FB2E" w:rsidRDefault="4C28FB2E">
      <w:r w:rsidRPr="1EC887A7">
        <w:rPr>
          <w:rFonts w:ascii="Calibri" w:eastAsia="Calibri" w:hAnsi="Calibri" w:cs="Calibri"/>
          <w:color w:val="333333"/>
          <w:sz w:val="27"/>
          <w:szCs w:val="27"/>
          <w:lang/>
        </w:rPr>
        <w:lastRenderedPageBreak/>
        <w:t>Dat is dus €1,60 meer ten opzichte van het jaar ervoor. Geen gouden berg inderdaad, wel mooi meegenomen. Maar laten we eens kijken wat er gebeurt na het derde jaar, vierde jaar, vijfde… enzovoort.</w:t>
      </w:r>
    </w:p>
    <w:tbl>
      <w:tblPr>
        <w:tblStyle w:val="TableGrid"/>
        <w:tblW w:w="9015" w:type="dxa"/>
        <w:tblLayout w:type="fixed"/>
        <w:tblLook w:val="06A0" w:firstRow="1" w:lastRow="0" w:firstColumn="1" w:lastColumn="0" w:noHBand="1" w:noVBand="1"/>
      </w:tblPr>
      <w:tblGrid>
        <w:gridCol w:w="3005"/>
        <w:gridCol w:w="3005"/>
        <w:gridCol w:w="3005"/>
      </w:tblGrid>
      <w:tr w:rsidR="0000598D" w14:paraId="62F6EA60" w14:textId="4A697F7C" w:rsidTr="0000598D">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6D476E12" w14:textId="37A43C55" w:rsidR="0000598D" w:rsidRDefault="0000598D" w:rsidP="1EC887A7">
            <w:pPr>
              <w:jc w:val="center"/>
            </w:pPr>
            <w:r w:rsidRPr="1EC887A7">
              <w:rPr>
                <w:b/>
                <w:bCs/>
                <w:color w:val="FFFFFF" w:themeColor="background1"/>
              </w:rPr>
              <w:t>Jaar</w:t>
            </w:r>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621563B3" w14:textId="7E162D2C" w:rsidR="0000598D" w:rsidRPr="0000598D" w:rsidRDefault="0000598D" w:rsidP="1EC887A7">
            <w:pPr>
              <w:jc w:val="center"/>
              <w:rPr>
                <w:lang w:val="nl-NL"/>
              </w:rPr>
            </w:pPr>
            <w:r>
              <w:rPr>
                <w:b/>
                <w:bCs/>
                <w:color w:val="FFFFFF" w:themeColor="background1"/>
                <w:lang w:val="nl-NL"/>
              </w:rPr>
              <w:t>Totaalbedrag</w:t>
            </w:r>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248E4878" w14:textId="784FD890" w:rsidR="0000598D" w:rsidRPr="0000598D" w:rsidRDefault="0000598D" w:rsidP="1EC887A7">
            <w:pPr>
              <w:jc w:val="center"/>
              <w:rPr>
                <w:lang w:val="nl-NL"/>
              </w:rPr>
            </w:pPr>
            <w:r>
              <w:rPr>
                <w:b/>
                <w:bCs/>
                <w:color w:val="FFFFFF" w:themeColor="background1"/>
                <w:lang w:val="nl-NL"/>
              </w:rPr>
              <w:t>Rendement in jaar</w:t>
            </w:r>
          </w:p>
        </w:tc>
      </w:tr>
      <w:tr w:rsidR="0000598D" w14:paraId="78AD7481" w14:textId="3096C25D" w:rsidTr="0000598D">
        <w:tc>
          <w:tcPr>
            <w:tcW w:w="3005" w:type="dxa"/>
            <w:tcBorders>
              <w:top w:val="single" w:sz="0" w:space="0" w:color="auto"/>
              <w:left w:val="single" w:sz="0" w:space="0" w:color="auto"/>
              <w:bottom w:val="single" w:sz="0" w:space="0" w:color="auto"/>
              <w:right w:val="single" w:sz="0" w:space="0" w:color="auto"/>
            </w:tcBorders>
            <w:vAlign w:val="center"/>
          </w:tcPr>
          <w:p w14:paraId="3E4486C5" w14:textId="68649782" w:rsidR="0000598D" w:rsidRDefault="0000598D" w:rsidP="0000598D">
            <w:r>
              <w:t>1</w:t>
            </w:r>
          </w:p>
        </w:tc>
        <w:tc>
          <w:tcPr>
            <w:tcW w:w="3005" w:type="dxa"/>
            <w:tcBorders>
              <w:top w:val="single" w:sz="0" w:space="0" w:color="auto"/>
              <w:left w:val="single" w:sz="0" w:space="0" w:color="auto"/>
              <w:bottom w:val="single" w:sz="0" w:space="0" w:color="auto"/>
              <w:right w:val="single" w:sz="0" w:space="0" w:color="auto"/>
            </w:tcBorders>
            <w:vAlign w:val="center"/>
          </w:tcPr>
          <w:p w14:paraId="33488407" w14:textId="6576D266" w:rsidR="0000598D" w:rsidRDefault="0000598D" w:rsidP="0000598D">
            <w:r>
              <w:t>€1040</w:t>
            </w:r>
          </w:p>
        </w:tc>
        <w:tc>
          <w:tcPr>
            <w:tcW w:w="3005" w:type="dxa"/>
            <w:tcBorders>
              <w:top w:val="single" w:sz="0" w:space="0" w:color="auto"/>
              <w:left w:val="single" w:sz="0" w:space="0" w:color="auto"/>
              <w:bottom w:val="single" w:sz="0" w:space="0" w:color="auto"/>
              <w:right w:val="single" w:sz="0" w:space="0" w:color="auto"/>
            </w:tcBorders>
            <w:vAlign w:val="center"/>
          </w:tcPr>
          <w:p w14:paraId="0B39529B" w14:textId="20DBD41F" w:rsidR="0000598D" w:rsidRDefault="0000598D" w:rsidP="0000598D">
            <w:r>
              <w:t>€40</w:t>
            </w:r>
          </w:p>
        </w:tc>
      </w:tr>
      <w:tr w:rsidR="0000598D" w14:paraId="0743013B" w14:textId="1B884E41" w:rsidTr="0000598D">
        <w:tc>
          <w:tcPr>
            <w:tcW w:w="3005" w:type="dxa"/>
            <w:tcBorders>
              <w:top w:val="single" w:sz="0" w:space="0" w:color="auto"/>
              <w:left w:val="single" w:sz="0" w:space="0" w:color="auto"/>
              <w:bottom w:val="single" w:sz="0" w:space="0" w:color="auto"/>
              <w:right w:val="single" w:sz="0" w:space="0" w:color="auto"/>
            </w:tcBorders>
            <w:vAlign w:val="center"/>
          </w:tcPr>
          <w:p w14:paraId="459C09FE" w14:textId="1EFD1AF0" w:rsidR="0000598D" w:rsidRDefault="0000598D" w:rsidP="0000598D">
            <w:r>
              <w:t>2</w:t>
            </w:r>
          </w:p>
        </w:tc>
        <w:tc>
          <w:tcPr>
            <w:tcW w:w="3005" w:type="dxa"/>
            <w:tcBorders>
              <w:top w:val="single" w:sz="0" w:space="0" w:color="auto"/>
              <w:left w:val="single" w:sz="0" w:space="0" w:color="auto"/>
              <w:bottom w:val="single" w:sz="0" w:space="0" w:color="auto"/>
              <w:right w:val="single" w:sz="0" w:space="0" w:color="auto"/>
            </w:tcBorders>
            <w:vAlign w:val="center"/>
          </w:tcPr>
          <w:p w14:paraId="4320D118" w14:textId="34384E50" w:rsidR="0000598D" w:rsidRDefault="0000598D" w:rsidP="0000598D">
            <w:r>
              <w:t>€1081,60</w:t>
            </w:r>
          </w:p>
        </w:tc>
        <w:tc>
          <w:tcPr>
            <w:tcW w:w="3005" w:type="dxa"/>
            <w:tcBorders>
              <w:top w:val="single" w:sz="0" w:space="0" w:color="auto"/>
              <w:left w:val="single" w:sz="0" w:space="0" w:color="auto"/>
              <w:bottom w:val="single" w:sz="0" w:space="0" w:color="auto"/>
              <w:right w:val="single" w:sz="0" w:space="0" w:color="auto"/>
            </w:tcBorders>
            <w:vAlign w:val="center"/>
          </w:tcPr>
          <w:p w14:paraId="2D2E3B16" w14:textId="48500892" w:rsidR="0000598D" w:rsidRDefault="0000598D" w:rsidP="0000598D">
            <w:r>
              <w:t>€41,60</w:t>
            </w:r>
          </w:p>
        </w:tc>
      </w:tr>
      <w:tr w:rsidR="0000598D" w14:paraId="3A9DD58B" w14:textId="39114999" w:rsidTr="0000598D">
        <w:tc>
          <w:tcPr>
            <w:tcW w:w="3005" w:type="dxa"/>
            <w:tcBorders>
              <w:top w:val="single" w:sz="0" w:space="0" w:color="auto"/>
              <w:left w:val="single" w:sz="0" w:space="0" w:color="auto"/>
              <w:bottom w:val="single" w:sz="0" w:space="0" w:color="auto"/>
              <w:right w:val="single" w:sz="0" w:space="0" w:color="auto"/>
            </w:tcBorders>
            <w:vAlign w:val="center"/>
          </w:tcPr>
          <w:p w14:paraId="275EBFAA" w14:textId="75DE481C" w:rsidR="0000598D" w:rsidRDefault="0000598D" w:rsidP="0000598D">
            <w:r>
              <w:t>3</w:t>
            </w:r>
          </w:p>
        </w:tc>
        <w:tc>
          <w:tcPr>
            <w:tcW w:w="3005" w:type="dxa"/>
            <w:tcBorders>
              <w:top w:val="single" w:sz="0" w:space="0" w:color="auto"/>
              <w:left w:val="single" w:sz="0" w:space="0" w:color="auto"/>
              <w:bottom w:val="single" w:sz="0" w:space="0" w:color="auto"/>
              <w:right w:val="single" w:sz="0" w:space="0" w:color="auto"/>
            </w:tcBorders>
            <w:vAlign w:val="center"/>
          </w:tcPr>
          <w:p w14:paraId="18487F1E" w14:textId="62635E06" w:rsidR="0000598D" w:rsidRDefault="0000598D" w:rsidP="0000598D">
            <w:r>
              <w:t>€1124,86</w:t>
            </w:r>
          </w:p>
        </w:tc>
        <w:tc>
          <w:tcPr>
            <w:tcW w:w="3005" w:type="dxa"/>
            <w:tcBorders>
              <w:top w:val="single" w:sz="0" w:space="0" w:color="auto"/>
              <w:left w:val="single" w:sz="0" w:space="0" w:color="auto"/>
              <w:bottom w:val="single" w:sz="0" w:space="0" w:color="auto"/>
              <w:right w:val="single" w:sz="0" w:space="0" w:color="auto"/>
            </w:tcBorders>
            <w:vAlign w:val="center"/>
          </w:tcPr>
          <w:p w14:paraId="7B9E3615" w14:textId="76457F74" w:rsidR="0000598D" w:rsidRDefault="0000598D" w:rsidP="0000598D">
            <w:r>
              <w:t>€43,26</w:t>
            </w:r>
          </w:p>
        </w:tc>
      </w:tr>
      <w:tr w:rsidR="0000598D" w14:paraId="78D4898A" w14:textId="4C1B3F91" w:rsidTr="0000598D">
        <w:tc>
          <w:tcPr>
            <w:tcW w:w="3005" w:type="dxa"/>
            <w:tcBorders>
              <w:top w:val="single" w:sz="0" w:space="0" w:color="auto"/>
              <w:left w:val="single" w:sz="0" w:space="0" w:color="auto"/>
              <w:bottom w:val="single" w:sz="0" w:space="0" w:color="auto"/>
              <w:right w:val="single" w:sz="0" w:space="0" w:color="auto"/>
            </w:tcBorders>
            <w:vAlign w:val="center"/>
          </w:tcPr>
          <w:p w14:paraId="62105126" w14:textId="08DFE02F" w:rsidR="0000598D" w:rsidRDefault="0000598D" w:rsidP="0000598D">
            <w:r>
              <w:t>4</w:t>
            </w:r>
          </w:p>
        </w:tc>
        <w:tc>
          <w:tcPr>
            <w:tcW w:w="3005" w:type="dxa"/>
            <w:tcBorders>
              <w:top w:val="single" w:sz="0" w:space="0" w:color="auto"/>
              <w:left w:val="single" w:sz="0" w:space="0" w:color="auto"/>
              <w:bottom w:val="single" w:sz="0" w:space="0" w:color="auto"/>
              <w:right w:val="single" w:sz="0" w:space="0" w:color="auto"/>
            </w:tcBorders>
            <w:vAlign w:val="center"/>
          </w:tcPr>
          <w:p w14:paraId="5BA83641" w14:textId="3D0A6509" w:rsidR="0000598D" w:rsidRDefault="0000598D" w:rsidP="0000598D">
            <w:r>
              <w:t>€1169,86</w:t>
            </w:r>
          </w:p>
        </w:tc>
        <w:tc>
          <w:tcPr>
            <w:tcW w:w="3005" w:type="dxa"/>
            <w:tcBorders>
              <w:top w:val="single" w:sz="0" w:space="0" w:color="auto"/>
              <w:left w:val="single" w:sz="0" w:space="0" w:color="auto"/>
              <w:bottom w:val="single" w:sz="0" w:space="0" w:color="auto"/>
              <w:right w:val="single" w:sz="0" w:space="0" w:color="auto"/>
            </w:tcBorders>
            <w:vAlign w:val="center"/>
          </w:tcPr>
          <w:p w14:paraId="30FD6A0F" w14:textId="64BB4A70" w:rsidR="0000598D" w:rsidRDefault="0000598D" w:rsidP="0000598D">
            <w:r>
              <w:t>€45</w:t>
            </w:r>
          </w:p>
        </w:tc>
      </w:tr>
      <w:tr w:rsidR="0000598D" w14:paraId="06D2DE8A" w14:textId="7748235D" w:rsidTr="0000598D">
        <w:tc>
          <w:tcPr>
            <w:tcW w:w="3005" w:type="dxa"/>
            <w:tcBorders>
              <w:top w:val="single" w:sz="0" w:space="0" w:color="auto"/>
              <w:left w:val="single" w:sz="0" w:space="0" w:color="auto"/>
              <w:bottom w:val="single" w:sz="0" w:space="0" w:color="auto"/>
              <w:right w:val="single" w:sz="0" w:space="0" w:color="auto"/>
            </w:tcBorders>
            <w:vAlign w:val="center"/>
          </w:tcPr>
          <w:p w14:paraId="49CCA472" w14:textId="1D5EA578" w:rsidR="0000598D" w:rsidRDefault="0000598D" w:rsidP="0000598D">
            <w:r>
              <w:t>5</w:t>
            </w:r>
          </w:p>
        </w:tc>
        <w:tc>
          <w:tcPr>
            <w:tcW w:w="3005" w:type="dxa"/>
            <w:tcBorders>
              <w:top w:val="single" w:sz="0" w:space="0" w:color="auto"/>
              <w:left w:val="single" w:sz="0" w:space="0" w:color="auto"/>
              <w:bottom w:val="single" w:sz="0" w:space="0" w:color="auto"/>
              <w:right w:val="single" w:sz="0" w:space="0" w:color="auto"/>
            </w:tcBorders>
            <w:vAlign w:val="center"/>
          </w:tcPr>
          <w:p w14:paraId="17BFBA87" w14:textId="7C443D58" w:rsidR="0000598D" w:rsidRDefault="0000598D" w:rsidP="0000598D">
            <w:r>
              <w:t>€1216,65</w:t>
            </w:r>
          </w:p>
        </w:tc>
        <w:tc>
          <w:tcPr>
            <w:tcW w:w="3005" w:type="dxa"/>
            <w:tcBorders>
              <w:top w:val="single" w:sz="0" w:space="0" w:color="auto"/>
              <w:left w:val="single" w:sz="0" w:space="0" w:color="auto"/>
              <w:bottom w:val="single" w:sz="0" w:space="0" w:color="auto"/>
              <w:right w:val="single" w:sz="0" w:space="0" w:color="auto"/>
            </w:tcBorders>
            <w:vAlign w:val="center"/>
          </w:tcPr>
          <w:p w14:paraId="79566DF5" w14:textId="6F520D2F" w:rsidR="0000598D" w:rsidRDefault="0000598D" w:rsidP="0000598D">
            <w:r>
              <w:t>€46,79</w:t>
            </w:r>
          </w:p>
        </w:tc>
      </w:tr>
      <w:tr w:rsidR="0000598D" w14:paraId="160D93D0" w14:textId="7B48FA22" w:rsidTr="0000598D">
        <w:tc>
          <w:tcPr>
            <w:tcW w:w="3005" w:type="dxa"/>
            <w:tcBorders>
              <w:top w:val="single" w:sz="0" w:space="0" w:color="auto"/>
              <w:left w:val="single" w:sz="0" w:space="0" w:color="auto"/>
              <w:bottom w:val="single" w:sz="0" w:space="0" w:color="auto"/>
              <w:right w:val="single" w:sz="0" w:space="0" w:color="auto"/>
            </w:tcBorders>
            <w:vAlign w:val="center"/>
          </w:tcPr>
          <w:p w14:paraId="070B7AB9" w14:textId="6737BCBF" w:rsidR="0000598D" w:rsidRDefault="0000598D" w:rsidP="0000598D">
            <w:r>
              <w:t>6</w:t>
            </w:r>
          </w:p>
        </w:tc>
        <w:tc>
          <w:tcPr>
            <w:tcW w:w="3005" w:type="dxa"/>
            <w:tcBorders>
              <w:top w:val="single" w:sz="0" w:space="0" w:color="auto"/>
              <w:left w:val="single" w:sz="0" w:space="0" w:color="auto"/>
              <w:bottom w:val="single" w:sz="0" w:space="0" w:color="auto"/>
              <w:right w:val="single" w:sz="0" w:space="0" w:color="auto"/>
            </w:tcBorders>
            <w:vAlign w:val="center"/>
          </w:tcPr>
          <w:p w14:paraId="4DC5B5B6" w14:textId="4D22B56B" w:rsidR="0000598D" w:rsidRDefault="0000598D" w:rsidP="0000598D">
            <w:r>
              <w:t>€1265,32</w:t>
            </w:r>
          </w:p>
        </w:tc>
        <w:tc>
          <w:tcPr>
            <w:tcW w:w="3005" w:type="dxa"/>
            <w:tcBorders>
              <w:top w:val="single" w:sz="0" w:space="0" w:color="auto"/>
              <w:left w:val="single" w:sz="0" w:space="0" w:color="auto"/>
              <w:bottom w:val="single" w:sz="0" w:space="0" w:color="auto"/>
              <w:right w:val="single" w:sz="0" w:space="0" w:color="auto"/>
            </w:tcBorders>
            <w:vAlign w:val="center"/>
          </w:tcPr>
          <w:p w14:paraId="473B2716" w14:textId="17B0A73E" w:rsidR="0000598D" w:rsidRDefault="0000598D" w:rsidP="0000598D">
            <w:r>
              <w:t>€48,67</w:t>
            </w:r>
          </w:p>
        </w:tc>
      </w:tr>
      <w:tr w:rsidR="0000598D" w14:paraId="650AC3EB" w14:textId="54BE28EA" w:rsidTr="0000598D">
        <w:tc>
          <w:tcPr>
            <w:tcW w:w="3005" w:type="dxa"/>
            <w:tcBorders>
              <w:top w:val="single" w:sz="0" w:space="0" w:color="auto"/>
              <w:left w:val="single" w:sz="0" w:space="0" w:color="auto"/>
              <w:bottom w:val="single" w:sz="0" w:space="0" w:color="auto"/>
              <w:right w:val="single" w:sz="0" w:space="0" w:color="auto"/>
            </w:tcBorders>
            <w:vAlign w:val="center"/>
          </w:tcPr>
          <w:p w14:paraId="7F728572" w14:textId="319CC985" w:rsidR="0000598D" w:rsidRDefault="0000598D" w:rsidP="0000598D">
            <w:r>
              <w:t>7</w:t>
            </w:r>
          </w:p>
        </w:tc>
        <w:tc>
          <w:tcPr>
            <w:tcW w:w="3005" w:type="dxa"/>
            <w:tcBorders>
              <w:top w:val="single" w:sz="0" w:space="0" w:color="auto"/>
              <w:left w:val="single" w:sz="0" w:space="0" w:color="auto"/>
              <w:bottom w:val="single" w:sz="0" w:space="0" w:color="auto"/>
              <w:right w:val="single" w:sz="0" w:space="0" w:color="auto"/>
            </w:tcBorders>
            <w:vAlign w:val="center"/>
          </w:tcPr>
          <w:p w14:paraId="7D3B5B00" w14:textId="7B9451F2" w:rsidR="0000598D" w:rsidRDefault="0000598D" w:rsidP="0000598D">
            <w:r>
              <w:t>€1315,93</w:t>
            </w:r>
          </w:p>
        </w:tc>
        <w:tc>
          <w:tcPr>
            <w:tcW w:w="3005" w:type="dxa"/>
            <w:tcBorders>
              <w:top w:val="single" w:sz="0" w:space="0" w:color="auto"/>
              <w:left w:val="single" w:sz="0" w:space="0" w:color="auto"/>
              <w:bottom w:val="single" w:sz="0" w:space="0" w:color="auto"/>
              <w:right w:val="single" w:sz="0" w:space="0" w:color="auto"/>
            </w:tcBorders>
            <w:vAlign w:val="center"/>
          </w:tcPr>
          <w:p w14:paraId="187F4D7E" w14:textId="5773ABDD" w:rsidR="0000598D" w:rsidRDefault="0000598D" w:rsidP="0000598D">
            <w:r>
              <w:t>€50,61</w:t>
            </w:r>
          </w:p>
        </w:tc>
      </w:tr>
      <w:tr w:rsidR="0000598D" w14:paraId="30C4A488" w14:textId="5D186126" w:rsidTr="0000598D">
        <w:tc>
          <w:tcPr>
            <w:tcW w:w="3005" w:type="dxa"/>
            <w:tcBorders>
              <w:top w:val="single" w:sz="0" w:space="0" w:color="auto"/>
              <w:left w:val="single" w:sz="0" w:space="0" w:color="auto"/>
              <w:bottom w:val="single" w:sz="0" w:space="0" w:color="auto"/>
              <w:right w:val="single" w:sz="0" w:space="0" w:color="auto"/>
            </w:tcBorders>
            <w:vAlign w:val="center"/>
          </w:tcPr>
          <w:p w14:paraId="12989B83" w14:textId="48D374C7" w:rsidR="0000598D" w:rsidRDefault="0000598D" w:rsidP="0000598D">
            <w:r>
              <w:t>8</w:t>
            </w:r>
          </w:p>
        </w:tc>
        <w:tc>
          <w:tcPr>
            <w:tcW w:w="3005" w:type="dxa"/>
            <w:tcBorders>
              <w:top w:val="single" w:sz="0" w:space="0" w:color="auto"/>
              <w:left w:val="single" w:sz="0" w:space="0" w:color="auto"/>
              <w:bottom w:val="single" w:sz="0" w:space="0" w:color="auto"/>
              <w:right w:val="single" w:sz="0" w:space="0" w:color="auto"/>
            </w:tcBorders>
            <w:vAlign w:val="center"/>
          </w:tcPr>
          <w:p w14:paraId="28E7DEAF" w14:textId="42807B5F" w:rsidR="0000598D" w:rsidRDefault="0000598D" w:rsidP="0000598D">
            <w:r>
              <w:t>€1368,57</w:t>
            </w:r>
          </w:p>
        </w:tc>
        <w:tc>
          <w:tcPr>
            <w:tcW w:w="3005" w:type="dxa"/>
            <w:tcBorders>
              <w:top w:val="single" w:sz="0" w:space="0" w:color="auto"/>
              <w:left w:val="single" w:sz="0" w:space="0" w:color="auto"/>
              <w:bottom w:val="single" w:sz="0" w:space="0" w:color="auto"/>
              <w:right w:val="single" w:sz="0" w:space="0" w:color="auto"/>
            </w:tcBorders>
            <w:vAlign w:val="center"/>
          </w:tcPr>
          <w:p w14:paraId="668BD410" w14:textId="74231B95" w:rsidR="0000598D" w:rsidRDefault="0000598D" w:rsidP="0000598D">
            <w:r>
              <w:t>€52,64</w:t>
            </w:r>
          </w:p>
        </w:tc>
      </w:tr>
      <w:tr w:rsidR="0000598D" w14:paraId="46779327" w14:textId="2B4A70D4" w:rsidTr="0000598D">
        <w:tc>
          <w:tcPr>
            <w:tcW w:w="3005" w:type="dxa"/>
            <w:tcBorders>
              <w:top w:val="single" w:sz="0" w:space="0" w:color="auto"/>
              <w:left w:val="single" w:sz="0" w:space="0" w:color="auto"/>
              <w:bottom w:val="single" w:sz="0" w:space="0" w:color="auto"/>
              <w:right w:val="single" w:sz="0" w:space="0" w:color="auto"/>
            </w:tcBorders>
            <w:vAlign w:val="center"/>
          </w:tcPr>
          <w:p w14:paraId="628F4440" w14:textId="6C2B0E0A" w:rsidR="0000598D" w:rsidRDefault="0000598D" w:rsidP="0000598D">
            <w:r>
              <w:t>9</w:t>
            </w:r>
          </w:p>
        </w:tc>
        <w:tc>
          <w:tcPr>
            <w:tcW w:w="3005" w:type="dxa"/>
            <w:tcBorders>
              <w:top w:val="single" w:sz="0" w:space="0" w:color="auto"/>
              <w:left w:val="single" w:sz="0" w:space="0" w:color="auto"/>
              <w:bottom w:val="single" w:sz="0" w:space="0" w:color="auto"/>
              <w:right w:val="single" w:sz="0" w:space="0" w:color="auto"/>
            </w:tcBorders>
            <w:vAlign w:val="center"/>
          </w:tcPr>
          <w:p w14:paraId="598DC0BA" w14:textId="50D374A2" w:rsidR="0000598D" w:rsidRDefault="0000598D" w:rsidP="0000598D">
            <w:r>
              <w:t>€1423,31</w:t>
            </w:r>
          </w:p>
        </w:tc>
        <w:tc>
          <w:tcPr>
            <w:tcW w:w="3005" w:type="dxa"/>
            <w:tcBorders>
              <w:top w:val="single" w:sz="0" w:space="0" w:color="auto"/>
              <w:left w:val="single" w:sz="0" w:space="0" w:color="auto"/>
              <w:bottom w:val="single" w:sz="0" w:space="0" w:color="auto"/>
              <w:right w:val="single" w:sz="0" w:space="0" w:color="auto"/>
            </w:tcBorders>
            <w:vAlign w:val="center"/>
          </w:tcPr>
          <w:p w14:paraId="6864B058" w14:textId="75B53C50" w:rsidR="0000598D" w:rsidRDefault="0000598D" w:rsidP="0000598D">
            <w:r>
              <w:t>€54,74</w:t>
            </w:r>
          </w:p>
        </w:tc>
      </w:tr>
      <w:tr w:rsidR="0000598D" w14:paraId="6E07F731" w14:textId="16C0555F" w:rsidTr="0000598D">
        <w:tc>
          <w:tcPr>
            <w:tcW w:w="3005" w:type="dxa"/>
            <w:tcBorders>
              <w:top w:val="single" w:sz="0" w:space="0" w:color="auto"/>
              <w:left w:val="single" w:sz="0" w:space="0" w:color="auto"/>
              <w:bottom w:val="single" w:sz="0" w:space="0" w:color="auto"/>
              <w:right w:val="single" w:sz="0" w:space="0" w:color="auto"/>
            </w:tcBorders>
            <w:vAlign w:val="center"/>
          </w:tcPr>
          <w:p w14:paraId="114BE856" w14:textId="07536A74" w:rsidR="0000598D" w:rsidRDefault="0000598D" w:rsidP="0000598D">
            <w:r>
              <w:t>10</w:t>
            </w:r>
          </w:p>
        </w:tc>
        <w:tc>
          <w:tcPr>
            <w:tcW w:w="3005" w:type="dxa"/>
            <w:tcBorders>
              <w:top w:val="single" w:sz="0" w:space="0" w:color="auto"/>
              <w:left w:val="single" w:sz="0" w:space="0" w:color="auto"/>
              <w:bottom w:val="single" w:sz="0" w:space="0" w:color="auto"/>
              <w:right w:val="single" w:sz="0" w:space="0" w:color="auto"/>
            </w:tcBorders>
            <w:vAlign w:val="center"/>
          </w:tcPr>
          <w:p w14:paraId="773D1FCE" w14:textId="19786731" w:rsidR="0000598D" w:rsidRDefault="0000598D" w:rsidP="0000598D">
            <w:r>
              <w:t>€1480,24</w:t>
            </w:r>
          </w:p>
        </w:tc>
        <w:tc>
          <w:tcPr>
            <w:tcW w:w="3005" w:type="dxa"/>
            <w:tcBorders>
              <w:top w:val="single" w:sz="0" w:space="0" w:color="auto"/>
              <w:left w:val="single" w:sz="0" w:space="0" w:color="auto"/>
              <w:bottom w:val="single" w:sz="0" w:space="0" w:color="auto"/>
              <w:right w:val="single" w:sz="0" w:space="0" w:color="auto"/>
            </w:tcBorders>
            <w:vAlign w:val="center"/>
          </w:tcPr>
          <w:p w14:paraId="61D7C4D1" w14:textId="221263D5" w:rsidR="0000598D" w:rsidRDefault="0000598D" w:rsidP="0000598D">
            <w:r>
              <w:t>€56,93</w:t>
            </w:r>
          </w:p>
        </w:tc>
      </w:tr>
    </w:tbl>
    <w:p w14:paraId="33C335A4" w14:textId="7A03DEC0" w:rsidR="1571CD9E" w:rsidRDefault="1571CD9E">
      <w:r w:rsidRPr="0835508B">
        <w:rPr>
          <w:rFonts w:ascii="Calibri" w:eastAsia="Calibri" w:hAnsi="Calibri" w:cs="Calibri"/>
          <w:color w:val="333333"/>
          <w:sz w:val="15"/>
          <w:szCs w:val="15"/>
          <w:lang/>
        </w:rPr>
        <w:t>Let op: dit voorbeeld is ook écht een voorbeeld. We rekenden hiervoor met een verwacht rendement van 4% en een jaarlijkse inleg van €1.000. Maar de financiële markten zijn niet zo voorspelbaar als hierboven: aan beleggen zijn altijd risico’s verbonden, er is nooit sprake van een gegarandeerd rendement en resultaten uit het verleden bieden geen garantie voor de toekomst.</w:t>
      </w:r>
    </w:p>
    <w:p w14:paraId="3099B83F" w14:textId="177D8448" w:rsidR="4C28FB2E" w:rsidRDefault="4C28FB2E">
      <w:r w:rsidRPr="1EC887A7">
        <w:rPr>
          <w:rFonts w:ascii="Calibri" w:eastAsia="Calibri" w:hAnsi="Calibri" w:cs="Calibri"/>
          <w:color w:val="333333"/>
          <w:sz w:val="27"/>
          <w:szCs w:val="27"/>
          <w:lang/>
        </w:rPr>
        <w:t>De bovenste tabel vertelt u een paar dingen:</w:t>
      </w:r>
    </w:p>
    <w:p w14:paraId="79259CDB" w14:textId="0D512B7A" w:rsidR="4C28FB2E" w:rsidRDefault="4C28FB2E" w:rsidP="1EC887A7">
      <w:pPr>
        <w:pStyle w:val="ListParagraph"/>
        <w:numPr>
          <w:ilvl w:val="0"/>
          <w:numId w:val="1"/>
        </w:numPr>
        <w:rPr>
          <w:rFonts w:eastAsiaTheme="minorEastAsia"/>
          <w:color w:val="333333"/>
          <w:sz w:val="27"/>
          <w:szCs w:val="27"/>
        </w:rPr>
      </w:pPr>
      <w:r w:rsidRPr="1EC887A7">
        <w:rPr>
          <w:rFonts w:ascii="Calibri" w:eastAsia="Calibri" w:hAnsi="Calibri" w:cs="Calibri"/>
          <w:color w:val="333333"/>
          <w:sz w:val="27"/>
          <w:szCs w:val="27"/>
          <w:lang/>
        </w:rPr>
        <w:t>Het rendement per jaar (4%) is procenten hetzelfde gebleven</w:t>
      </w:r>
    </w:p>
    <w:p w14:paraId="247BB781" w14:textId="71C65DBE" w:rsidR="4C28FB2E" w:rsidRDefault="4C28FB2E" w:rsidP="1EC887A7">
      <w:pPr>
        <w:pStyle w:val="ListParagraph"/>
        <w:numPr>
          <w:ilvl w:val="0"/>
          <w:numId w:val="1"/>
        </w:numPr>
        <w:rPr>
          <w:rFonts w:eastAsiaTheme="minorEastAsia"/>
          <w:color w:val="333333"/>
          <w:sz w:val="27"/>
          <w:szCs w:val="27"/>
        </w:rPr>
      </w:pPr>
      <w:r w:rsidRPr="1EC887A7">
        <w:rPr>
          <w:rFonts w:ascii="Calibri" w:eastAsia="Calibri" w:hAnsi="Calibri" w:cs="Calibri"/>
          <w:color w:val="333333"/>
          <w:sz w:val="27"/>
          <w:szCs w:val="27"/>
          <w:lang/>
        </w:rPr>
        <w:t>Het rendement in euro’s steeg in 10 jaar van €40 naar €56,93. Da’s ruim 40% (!)</w:t>
      </w:r>
    </w:p>
    <w:p w14:paraId="283B985E" w14:textId="440B0A41" w:rsidR="4C28FB2E" w:rsidRDefault="4C28FB2E" w:rsidP="1EC887A7">
      <w:pPr>
        <w:pStyle w:val="ListParagraph"/>
        <w:numPr>
          <w:ilvl w:val="0"/>
          <w:numId w:val="1"/>
        </w:numPr>
        <w:rPr>
          <w:rFonts w:eastAsiaTheme="minorEastAsia"/>
          <w:color w:val="333333"/>
          <w:sz w:val="27"/>
          <w:szCs w:val="27"/>
        </w:rPr>
      </w:pPr>
      <w:r w:rsidRPr="1EC887A7">
        <w:rPr>
          <w:rFonts w:ascii="Calibri" w:eastAsia="Calibri" w:hAnsi="Calibri" w:cs="Calibri"/>
          <w:color w:val="333333"/>
          <w:sz w:val="27"/>
          <w:szCs w:val="27"/>
          <w:lang/>
        </w:rPr>
        <w:t>Voor die stijging had u helemaal niets extra’s hoeven doen</w:t>
      </w:r>
    </w:p>
    <w:p w14:paraId="5560253B" w14:textId="1FC70FF4" w:rsidR="4C28FB2E" w:rsidRDefault="4C28FB2E">
      <w:r w:rsidRPr="1EC887A7">
        <w:rPr>
          <w:rFonts w:ascii="Calibri" w:eastAsia="Calibri" w:hAnsi="Calibri" w:cs="Calibri"/>
          <w:color w:val="333333"/>
          <w:sz w:val="27"/>
          <w:szCs w:val="27"/>
          <w:lang/>
        </w:rPr>
        <w:t>Kent u de uitspraak ‘Uw geld aan het werk zetten?’. Eén van de grootste beursclichés in de wereld van beursclichés. Maar daarom niet minder waar, want uw geld voor u aan het werk zetten kan écht.</w:t>
      </w:r>
    </w:p>
    <w:p w14:paraId="62EF01A4" w14:textId="57EA7028" w:rsidR="4C28FB2E" w:rsidRDefault="4C28FB2E">
      <w:r w:rsidRPr="1EC887A7">
        <w:rPr>
          <w:rFonts w:ascii="Calibri" w:eastAsia="Calibri" w:hAnsi="Calibri" w:cs="Calibri"/>
          <w:color w:val="333333"/>
          <w:sz w:val="27"/>
          <w:szCs w:val="27"/>
          <w:lang/>
        </w:rPr>
        <w:t>Als u maar de tijd neemt. Dan wordt het rendement waarvoor u niets hoeft te doen namelijk elk jaar groter. Kijk maar eens wat er gebeurt als u nog wat extra jaartjes zou beleggen:</w:t>
      </w:r>
    </w:p>
    <w:tbl>
      <w:tblPr>
        <w:tblStyle w:val="TableGrid"/>
        <w:tblW w:w="0" w:type="auto"/>
        <w:tblLayout w:type="fixed"/>
        <w:tblLook w:val="06A0" w:firstRow="1" w:lastRow="0" w:firstColumn="1" w:lastColumn="0" w:noHBand="1" w:noVBand="1"/>
      </w:tblPr>
      <w:tblGrid>
        <w:gridCol w:w="3005"/>
        <w:gridCol w:w="3005"/>
        <w:gridCol w:w="3005"/>
      </w:tblGrid>
      <w:tr w:rsidR="1EC887A7" w14:paraId="5E67D72A" w14:textId="77777777" w:rsidTr="0835508B">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3F76E5B6" w14:textId="5C65401D" w:rsidR="1EC887A7" w:rsidRDefault="1EC887A7" w:rsidP="1EC887A7">
            <w:pPr>
              <w:jc w:val="center"/>
            </w:pPr>
            <w:r w:rsidRPr="1EC887A7">
              <w:rPr>
                <w:b/>
                <w:bCs/>
                <w:color w:val="FFFFFF" w:themeColor="background1"/>
              </w:rPr>
              <w:t>Jaar</w:t>
            </w:r>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2082C289" w14:textId="673BB2D7" w:rsidR="1EC887A7" w:rsidRDefault="785080B2" w:rsidP="0835508B">
            <w:pPr>
              <w:spacing w:line="259" w:lineRule="auto"/>
              <w:jc w:val="center"/>
              <w:rPr>
                <w:b/>
                <w:bCs/>
                <w:color w:val="FFFFFF" w:themeColor="background1"/>
              </w:rPr>
            </w:pPr>
            <w:proofErr w:type="spellStart"/>
            <w:r w:rsidRPr="0835508B">
              <w:rPr>
                <w:b/>
                <w:bCs/>
                <w:color w:val="FFFFFF" w:themeColor="background1"/>
              </w:rPr>
              <w:t>Totaalbedrag</w:t>
            </w:r>
            <w:proofErr w:type="spellEnd"/>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462443EF" w14:textId="42E5296F" w:rsidR="1EC887A7" w:rsidRDefault="785080B2" w:rsidP="1EC887A7">
            <w:pPr>
              <w:jc w:val="center"/>
            </w:pPr>
            <w:proofErr w:type="spellStart"/>
            <w:r w:rsidRPr="0835508B">
              <w:rPr>
                <w:b/>
                <w:bCs/>
                <w:color w:val="FFFFFF" w:themeColor="background1"/>
              </w:rPr>
              <w:t>Rendement</w:t>
            </w:r>
            <w:proofErr w:type="spellEnd"/>
            <w:r w:rsidRPr="0835508B">
              <w:rPr>
                <w:b/>
                <w:bCs/>
                <w:color w:val="FFFFFF" w:themeColor="background1"/>
              </w:rPr>
              <w:t xml:space="preserve"> in </w:t>
            </w:r>
            <w:proofErr w:type="spellStart"/>
            <w:r w:rsidRPr="0835508B">
              <w:rPr>
                <w:b/>
                <w:bCs/>
                <w:color w:val="FFFFFF" w:themeColor="background1"/>
              </w:rPr>
              <w:t>jaar</w:t>
            </w:r>
            <w:proofErr w:type="spellEnd"/>
          </w:p>
        </w:tc>
      </w:tr>
      <w:tr w:rsidR="1EC887A7" w14:paraId="669237DE"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72D0A39" w14:textId="450F6178" w:rsidR="1EC887A7" w:rsidRDefault="57BFE338">
            <w:r>
              <w:t>10</w:t>
            </w:r>
          </w:p>
        </w:tc>
        <w:tc>
          <w:tcPr>
            <w:tcW w:w="3005" w:type="dxa"/>
            <w:tcBorders>
              <w:top w:val="single" w:sz="0" w:space="0" w:color="auto"/>
              <w:left w:val="single" w:sz="0" w:space="0" w:color="auto"/>
              <w:bottom w:val="single" w:sz="0" w:space="0" w:color="auto"/>
              <w:right w:val="single" w:sz="0" w:space="0" w:color="auto"/>
            </w:tcBorders>
            <w:vAlign w:val="center"/>
          </w:tcPr>
          <w:p w14:paraId="6B1375DF" w14:textId="42AC754C" w:rsidR="1EC887A7" w:rsidRDefault="1EC887A7">
            <w:r>
              <w:t>€1480,24</w:t>
            </w:r>
          </w:p>
        </w:tc>
        <w:tc>
          <w:tcPr>
            <w:tcW w:w="3005" w:type="dxa"/>
            <w:tcBorders>
              <w:top w:val="single" w:sz="0" w:space="0" w:color="auto"/>
              <w:left w:val="single" w:sz="0" w:space="0" w:color="auto"/>
              <w:bottom w:val="single" w:sz="0" w:space="0" w:color="auto"/>
              <w:right w:val="single" w:sz="0" w:space="0" w:color="auto"/>
            </w:tcBorders>
            <w:vAlign w:val="center"/>
          </w:tcPr>
          <w:p w14:paraId="53ABF53B" w14:textId="5147B26B" w:rsidR="1EC887A7" w:rsidRDefault="57BFE338">
            <w:r>
              <w:t>€56,93</w:t>
            </w:r>
          </w:p>
        </w:tc>
      </w:tr>
      <w:tr w:rsidR="1EC887A7" w14:paraId="1016B252"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1F5EAC2" w14:textId="0DF1F9DC" w:rsidR="1EC887A7" w:rsidRDefault="1EC887A7">
            <w:r>
              <w:t>11</w:t>
            </w:r>
          </w:p>
        </w:tc>
        <w:tc>
          <w:tcPr>
            <w:tcW w:w="3005" w:type="dxa"/>
            <w:tcBorders>
              <w:top w:val="single" w:sz="0" w:space="0" w:color="auto"/>
              <w:left w:val="single" w:sz="0" w:space="0" w:color="auto"/>
              <w:bottom w:val="single" w:sz="0" w:space="0" w:color="auto"/>
              <w:right w:val="single" w:sz="0" w:space="0" w:color="auto"/>
            </w:tcBorders>
            <w:vAlign w:val="center"/>
          </w:tcPr>
          <w:p w14:paraId="4F606415" w14:textId="20294ACF" w:rsidR="1EC887A7" w:rsidRDefault="1EC887A7">
            <w:r>
              <w:t>€1539,45</w:t>
            </w:r>
          </w:p>
        </w:tc>
        <w:tc>
          <w:tcPr>
            <w:tcW w:w="3005" w:type="dxa"/>
            <w:tcBorders>
              <w:top w:val="single" w:sz="0" w:space="0" w:color="auto"/>
              <w:left w:val="single" w:sz="0" w:space="0" w:color="auto"/>
              <w:bottom w:val="single" w:sz="0" w:space="0" w:color="auto"/>
              <w:right w:val="single" w:sz="0" w:space="0" w:color="auto"/>
            </w:tcBorders>
            <w:vAlign w:val="center"/>
          </w:tcPr>
          <w:p w14:paraId="3679416D" w14:textId="77898B61" w:rsidR="1EC887A7" w:rsidRDefault="1EC887A7">
            <w:r>
              <w:t>€59,21</w:t>
            </w:r>
          </w:p>
        </w:tc>
      </w:tr>
      <w:tr w:rsidR="1EC887A7" w14:paraId="6127002F"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054A9B5" w14:textId="2FFBA97D" w:rsidR="1EC887A7" w:rsidRDefault="1EC887A7">
            <w:r>
              <w:t>12</w:t>
            </w:r>
          </w:p>
        </w:tc>
        <w:tc>
          <w:tcPr>
            <w:tcW w:w="3005" w:type="dxa"/>
            <w:tcBorders>
              <w:top w:val="single" w:sz="0" w:space="0" w:color="auto"/>
              <w:left w:val="single" w:sz="0" w:space="0" w:color="auto"/>
              <w:bottom w:val="single" w:sz="0" w:space="0" w:color="auto"/>
              <w:right w:val="single" w:sz="0" w:space="0" w:color="auto"/>
            </w:tcBorders>
            <w:vAlign w:val="center"/>
          </w:tcPr>
          <w:p w14:paraId="1A8EA99C" w14:textId="5929FFB7" w:rsidR="1EC887A7" w:rsidRDefault="1EC887A7">
            <w:r>
              <w:t>€1601,02</w:t>
            </w:r>
          </w:p>
        </w:tc>
        <w:tc>
          <w:tcPr>
            <w:tcW w:w="3005" w:type="dxa"/>
            <w:tcBorders>
              <w:top w:val="single" w:sz="0" w:space="0" w:color="auto"/>
              <w:left w:val="single" w:sz="0" w:space="0" w:color="auto"/>
              <w:bottom w:val="single" w:sz="0" w:space="0" w:color="auto"/>
              <w:right w:val="single" w:sz="0" w:space="0" w:color="auto"/>
            </w:tcBorders>
            <w:vAlign w:val="center"/>
          </w:tcPr>
          <w:p w14:paraId="2762E5D9" w14:textId="569E18DB" w:rsidR="1EC887A7" w:rsidRDefault="1EC887A7">
            <w:r>
              <w:t>€61,58</w:t>
            </w:r>
          </w:p>
        </w:tc>
      </w:tr>
      <w:tr w:rsidR="1EC887A7" w14:paraId="5D192558"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6AE7C6BD" w14:textId="3C4D89BA" w:rsidR="1EC887A7" w:rsidRDefault="1EC887A7">
            <w:r>
              <w:t>13</w:t>
            </w:r>
          </w:p>
        </w:tc>
        <w:tc>
          <w:tcPr>
            <w:tcW w:w="3005" w:type="dxa"/>
            <w:tcBorders>
              <w:top w:val="single" w:sz="0" w:space="0" w:color="auto"/>
              <w:left w:val="single" w:sz="0" w:space="0" w:color="auto"/>
              <w:bottom w:val="single" w:sz="0" w:space="0" w:color="auto"/>
              <w:right w:val="single" w:sz="0" w:space="0" w:color="auto"/>
            </w:tcBorders>
            <w:vAlign w:val="center"/>
          </w:tcPr>
          <w:p w14:paraId="53C6DAA7" w14:textId="688F8745" w:rsidR="1EC887A7" w:rsidRDefault="1EC887A7">
            <w:r>
              <w:t>€1665,07</w:t>
            </w:r>
          </w:p>
        </w:tc>
        <w:tc>
          <w:tcPr>
            <w:tcW w:w="3005" w:type="dxa"/>
            <w:tcBorders>
              <w:top w:val="single" w:sz="0" w:space="0" w:color="auto"/>
              <w:left w:val="single" w:sz="0" w:space="0" w:color="auto"/>
              <w:bottom w:val="single" w:sz="0" w:space="0" w:color="auto"/>
              <w:right w:val="single" w:sz="0" w:space="0" w:color="auto"/>
            </w:tcBorders>
            <w:vAlign w:val="center"/>
          </w:tcPr>
          <w:p w14:paraId="49157861" w14:textId="35FF58F4" w:rsidR="1EC887A7" w:rsidRDefault="1EC887A7">
            <w:r>
              <w:t>€64,04</w:t>
            </w:r>
          </w:p>
        </w:tc>
      </w:tr>
      <w:tr w:rsidR="1EC887A7" w14:paraId="1FFB5148"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4C98A79" w14:textId="543BAB8E" w:rsidR="1EC887A7" w:rsidRDefault="1EC887A7">
            <w:r>
              <w:t>14</w:t>
            </w:r>
          </w:p>
        </w:tc>
        <w:tc>
          <w:tcPr>
            <w:tcW w:w="3005" w:type="dxa"/>
            <w:tcBorders>
              <w:top w:val="single" w:sz="0" w:space="0" w:color="auto"/>
              <w:left w:val="single" w:sz="0" w:space="0" w:color="auto"/>
              <w:bottom w:val="single" w:sz="0" w:space="0" w:color="auto"/>
              <w:right w:val="single" w:sz="0" w:space="0" w:color="auto"/>
            </w:tcBorders>
            <w:vAlign w:val="center"/>
          </w:tcPr>
          <w:p w14:paraId="44422583" w14:textId="5F6E4A08" w:rsidR="1EC887A7" w:rsidRDefault="1EC887A7">
            <w:r>
              <w:t>€1731,67</w:t>
            </w:r>
          </w:p>
        </w:tc>
        <w:tc>
          <w:tcPr>
            <w:tcW w:w="3005" w:type="dxa"/>
            <w:tcBorders>
              <w:top w:val="single" w:sz="0" w:space="0" w:color="auto"/>
              <w:left w:val="single" w:sz="0" w:space="0" w:color="auto"/>
              <w:bottom w:val="single" w:sz="0" w:space="0" w:color="auto"/>
              <w:right w:val="single" w:sz="0" w:space="0" w:color="auto"/>
            </w:tcBorders>
            <w:vAlign w:val="center"/>
          </w:tcPr>
          <w:p w14:paraId="09C559A9" w14:textId="217DA286" w:rsidR="1EC887A7" w:rsidRDefault="1EC887A7">
            <w:r>
              <w:t>€66,60</w:t>
            </w:r>
          </w:p>
        </w:tc>
      </w:tr>
      <w:tr w:rsidR="1EC887A7" w14:paraId="0CADE09D"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2B73CB3E" w14:textId="1F3CDA0E" w:rsidR="1EC887A7" w:rsidRDefault="1EC887A7">
            <w:r>
              <w:t>15</w:t>
            </w:r>
          </w:p>
        </w:tc>
        <w:tc>
          <w:tcPr>
            <w:tcW w:w="3005" w:type="dxa"/>
            <w:tcBorders>
              <w:top w:val="single" w:sz="0" w:space="0" w:color="auto"/>
              <w:left w:val="single" w:sz="0" w:space="0" w:color="auto"/>
              <w:bottom w:val="single" w:sz="0" w:space="0" w:color="auto"/>
              <w:right w:val="single" w:sz="0" w:space="0" w:color="auto"/>
            </w:tcBorders>
            <w:vAlign w:val="center"/>
          </w:tcPr>
          <w:p w14:paraId="6574090F" w14:textId="42912677" w:rsidR="1EC887A7" w:rsidRDefault="1EC887A7">
            <w:r>
              <w:t>€1800,94</w:t>
            </w:r>
          </w:p>
        </w:tc>
        <w:tc>
          <w:tcPr>
            <w:tcW w:w="3005" w:type="dxa"/>
            <w:tcBorders>
              <w:top w:val="single" w:sz="0" w:space="0" w:color="auto"/>
              <w:left w:val="single" w:sz="0" w:space="0" w:color="auto"/>
              <w:bottom w:val="single" w:sz="0" w:space="0" w:color="auto"/>
              <w:right w:val="single" w:sz="0" w:space="0" w:color="auto"/>
            </w:tcBorders>
            <w:vAlign w:val="center"/>
          </w:tcPr>
          <w:p w14:paraId="3682A255" w14:textId="7AFF3CCD" w:rsidR="1EC887A7" w:rsidRDefault="1EC887A7">
            <w:r>
              <w:t>€69,27</w:t>
            </w:r>
          </w:p>
        </w:tc>
      </w:tr>
      <w:tr w:rsidR="1EC887A7" w14:paraId="29DA2775"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EEA438B" w14:textId="7CB96F6C" w:rsidR="1EC887A7" w:rsidRDefault="1EC887A7">
            <w:r>
              <w:t>16</w:t>
            </w:r>
          </w:p>
        </w:tc>
        <w:tc>
          <w:tcPr>
            <w:tcW w:w="3005" w:type="dxa"/>
            <w:tcBorders>
              <w:top w:val="single" w:sz="0" w:space="0" w:color="auto"/>
              <w:left w:val="single" w:sz="0" w:space="0" w:color="auto"/>
              <w:bottom w:val="single" w:sz="0" w:space="0" w:color="auto"/>
              <w:right w:val="single" w:sz="0" w:space="0" w:color="auto"/>
            </w:tcBorders>
            <w:vAlign w:val="center"/>
          </w:tcPr>
          <w:p w14:paraId="385E39AD" w14:textId="311CDEB3" w:rsidR="1EC887A7" w:rsidRDefault="1EC887A7">
            <w:r>
              <w:t>€1872,98</w:t>
            </w:r>
          </w:p>
        </w:tc>
        <w:tc>
          <w:tcPr>
            <w:tcW w:w="3005" w:type="dxa"/>
            <w:tcBorders>
              <w:top w:val="single" w:sz="0" w:space="0" w:color="auto"/>
              <w:left w:val="single" w:sz="0" w:space="0" w:color="auto"/>
              <w:bottom w:val="single" w:sz="0" w:space="0" w:color="auto"/>
              <w:right w:val="single" w:sz="0" w:space="0" w:color="auto"/>
            </w:tcBorders>
            <w:vAlign w:val="center"/>
          </w:tcPr>
          <w:p w14:paraId="633C1AA2" w14:textId="39D56167" w:rsidR="1EC887A7" w:rsidRDefault="1EC887A7">
            <w:r>
              <w:t>€72,04</w:t>
            </w:r>
          </w:p>
        </w:tc>
      </w:tr>
      <w:tr w:rsidR="1EC887A7" w14:paraId="0490CD44"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4993449" w14:textId="1C26D39B" w:rsidR="1EC887A7" w:rsidRDefault="1EC887A7">
            <w:r>
              <w:t>17</w:t>
            </w:r>
          </w:p>
        </w:tc>
        <w:tc>
          <w:tcPr>
            <w:tcW w:w="3005" w:type="dxa"/>
            <w:tcBorders>
              <w:top w:val="single" w:sz="0" w:space="0" w:color="auto"/>
              <w:left w:val="single" w:sz="0" w:space="0" w:color="auto"/>
              <w:bottom w:val="single" w:sz="0" w:space="0" w:color="auto"/>
              <w:right w:val="single" w:sz="0" w:space="0" w:color="auto"/>
            </w:tcBorders>
            <w:vAlign w:val="center"/>
          </w:tcPr>
          <w:p w14:paraId="1EFA2CA7" w14:textId="10843F96" w:rsidR="1EC887A7" w:rsidRDefault="1EC887A7">
            <w:r>
              <w:t>€1947,89</w:t>
            </w:r>
          </w:p>
        </w:tc>
        <w:tc>
          <w:tcPr>
            <w:tcW w:w="3005" w:type="dxa"/>
            <w:tcBorders>
              <w:top w:val="single" w:sz="0" w:space="0" w:color="auto"/>
              <w:left w:val="single" w:sz="0" w:space="0" w:color="auto"/>
              <w:bottom w:val="single" w:sz="0" w:space="0" w:color="auto"/>
              <w:right w:val="single" w:sz="0" w:space="0" w:color="auto"/>
            </w:tcBorders>
            <w:vAlign w:val="center"/>
          </w:tcPr>
          <w:p w14:paraId="0905F74C" w14:textId="4EB8B9CD" w:rsidR="1EC887A7" w:rsidRDefault="1EC887A7">
            <w:r>
              <w:t>€74,91</w:t>
            </w:r>
          </w:p>
        </w:tc>
      </w:tr>
      <w:tr w:rsidR="1EC887A7" w14:paraId="6F49E684"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4C32AC4" w14:textId="5333AB7C" w:rsidR="1EC887A7" w:rsidRDefault="1EC887A7">
            <w:r>
              <w:t>18</w:t>
            </w:r>
          </w:p>
        </w:tc>
        <w:tc>
          <w:tcPr>
            <w:tcW w:w="3005" w:type="dxa"/>
            <w:tcBorders>
              <w:top w:val="single" w:sz="0" w:space="0" w:color="auto"/>
              <w:left w:val="single" w:sz="0" w:space="0" w:color="auto"/>
              <w:bottom w:val="single" w:sz="0" w:space="0" w:color="auto"/>
              <w:right w:val="single" w:sz="0" w:space="0" w:color="auto"/>
            </w:tcBorders>
            <w:vAlign w:val="center"/>
          </w:tcPr>
          <w:p w14:paraId="26220027" w14:textId="4713B4B4" w:rsidR="1EC887A7" w:rsidRDefault="1EC887A7">
            <w:r>
              <w:t>€2025,81</w:t>
            </w:r>
          </w:p>
        </w:tc>
        <w:tc>
          <w:tcPr>
            <w:tcW w:w="3005" w:type="dxa"/>
            <w:tcBorders>
              <w:top w:val="single" w:sz="0" w:space="0" w:color="auto"/>
              <w:left w:val="single" w:sz="0" w:space="0" w:color="auto"/>
              <w:bottom w:val="single" w:sz="0" w:space="0" w:color="auto"/>
              <w:right w:val="single" w:sz="0" w:space="0" w:color="auto"/>
            </w:tcBorders>
            <w:vAlign w:val="center"/>
          </w:tcPr>
          <w:p w14:paraId="3BB58DA8" w14:textId="77746ACA" w:rsidR="1EC887A7" w:rsidRDefault="1EC887A7">
            <w:r>
              <w:t>€77,92</w:t>
            </w:r>
          </w:p>
        </w:tc>
      </w:tr>
      <w:tr w:rsidR="1EC887A7" w14:paraId="0FD0ECC8"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48EA3F44" w14:textId="3AC03569" w:rsidR="1EC887A7" w:rsidRDefault="1EC887A7">
            <w:r>
              <w:t>19</w:t>
            </w:r>
          </w:p>
        </w:tc>
        <w:tc>
          <w:tcPr>
            <w:tcW w:w="3005" w:type="dxa"/>
            <w:tcBorders>
              <w:top w:val="single" w:sz="0" w:space="0" w:color="auto"/>
              <w:left w:val="single" w:sz="0" w:space="0" w:color="auto"/>
              <w:bottom w:val="single" w:sz="0" w:space="0" w:color="auto"/>
              <w:right w:val="single" w:sz="0" w:space="0" w:color="auto"/>
            </w:tcBorders>
            <w:vAlign w:val="center"/>
          </w:tcPr>
          <w:p w14:paraId="75367570" w14:textId="5C25F5AD" w:rsidR="1EC887A7" w:rsidRDefault="1EC887A7">
            <w:r>
              <w:t>€2106,84</w:t>
            </w:r>
          </w:p>
        </w:tc>
        <w:tc>
          <w:tcPr>
            <w:tcW w:w="3005" w:type="dxa"/>
            <w:tcBorders>
              <w:top w:val="single" w:sz="0" w:space="0" w:color="auto"/>
              <w:left w:val="single" w:sz="0" w:space="0" w:color="auto"/>
              <w:bottom w:val="single" w:sz="0" w:space="0" w:color="auto"/>
              <w:right w:val="single" w:sz="0" w:space="0" w:color="auto"/>
            </w:tcBorders>
            <w:vAlign w:val="center"/>
          </w:tcPr>
          <w:p w14:paraId="62AD832D" w14:textId="5A85211A" w:rsidR="1EC887A7" w:rsidRDefault="1EC887A7">
            <w:r>
              <w:t>€81,03</w:t>
            </w:r>
          </w:p>
        </w:tc>
      </w:tr>
      <w:tr w:rsidR="1EC887A7" w14:paraId="353DEFAB"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5B8400E4" w14:textId="10359BDF" w:rsidR="1EC887A7" w:rsidRDefault="1EC887A7">
            <w:r>
              <w:t>20</w:t>
            </w:r>
          </w:p>
        </w:tc>
        <w:tc>
          <w:tcPr>
            <w:tcW w:w="3005" w:type="dxa"/>
            <w:tcBorders>
              <w:top w:val="single" w:sz="0" w:space="0" w:color="auto"/>
              <w:left w:val="single" w:sz="0" w:space="0" w:color="auto"/>
              <w:bottom w:val="single" w:sz="0" w:space="0" w:color="auto"/>
              <w:right w:val="single" w:sz="0" w:space="0" w:color="auto"/>
            </w:tcBorders>
            <w:vAlign w:val="center"/>
          </w:tcPr>
          <w:p w14:paraId="19DC9B5B" w14:textId="6340683E" w:rsidR="1EC887A7" w:rsidRDefault="1EC887A7">
            <w:r>
              <w:t>€2191,12</w:t>
            </w:r>
          </w:p>
        </w:tc>
        <w:tc>
          <w:tcPr>
            <w:tcW w:w="3005" w:type="dxa"/>
            <w:tcBorders>
              <w:top w:val="single" w:sz="0" w:space="0" w:color="auto"/>
              <w:left w:val="single" w:sz="0" w:space="0" w:color="auto"/>
              <w:bottom w:val="single" w:sz="0" w:space="0" w:color="auto"/>
              <w:right w:val="single" w:sz="0" w:space="0" w:color="auto"/>
            </w:tcBorders>
            <w:vAlign w:val="center"/>
          </w:tcPr>
          <w:p w14:paraId="77B06F74" w14:textId="3537B05B" w:rsidR="1EC887A7" w:rsidRDefault="1EC887A7">
            <w:r>
              <w:t>€ 84,27</w:t>
            </w:r>
          </w:p>
        </w:tc>
      </w:tr>
    </w:tbl>
    <w:p w14:paraId="7BF92D0C" w14:textId="0BB62F10" w:rsidR="2D27FCE3" w:rsidRDefault="2D27FCE3">
      <w:r w:rsidRPr="0835508B">
        <w:rPr>
          <w:rFonts w:ascii="Calibri" w:eastAsia="Calibri" w:hAnsi="Calibri" w:cs="Calibri"/>
          <w:color w:val="333333"/>
          <w:sz w:val="15"/>
          <w:szCs w:val="15"/>
          <w:lang/>
        </w:rPr>
        <w:t>Let op: dit voorbeeld is ook écht een voorbeeld. We rekenden hiervoor met een verwacht rendement van 4% en een jaarlijkse inleg van €1.000. Maar de financiële markten zijn niet zo voorspelbaar als hierboven: aan beleggen zijn altijd risico’s verbonden, er is nooit sprake van een gegarandeerd rendement en resultaten uit het verleden bieden geen garantie voor de toekomst.</w:t>
      </w:r>
    </w:p>
    <w:p w14:paraId="5602872B" w14:textId="71E8FBB5" w:rsidR="4C28FB2E" w:rsidRDefault="4C28FB2E">
      <w:r w:rsidRPr="1EC887A7">
        <w:rPr>
          <w:rFonts w:ascii="Calibri" w:eastAsia="Calibri" w:hAnsi="Calibri" w:cs="Calibri"/>
          <w:color w:val="333333"/>
          <w:sz w:val="27"/>
          <w:szCs w:val="27"/>
          <w:lang/>
        </w:rPr>
        <w:lastRenderedPageBreak/>
        <w:t>In de eerste 10 jaar steeg het jaarlijkse rendement met €480,24, in de tweede 10 jaar met €710,88 – een stuk meer dus. Voor die stijging heeft u precies niets hoeven doen. U ziet dus: hoe langer u de tijd neemt, hoe meer u profiteert van rendement op rendement.</w:t>
      </w:r>
    </w:p>
    <w:tbl>
      <w:tblPr>
        <w:tblStyle w:val="TableGrid"/>
        <w:tblW w:w="0" w:type="auto"/>
        <w:tblLayout w:type="fixed"/>
        <w:tblLook w:val="06A0" w:firstRow="1" w:lastRow="0" w:firstColumn="1" w:lastColumn="0" w:noHBand="1" w:noVBand="1"/>
      </w:tblPr>
      <w:tblGrid>
        <w:gridCol w:w="3005"/>
        <w:gridCol w:w="3005"/>
        <w:gridCol w:w="3005"/>
      </w:tblGrid>
      <w:tr w:rsidR="1EC887A7" w14:paraId="5AE3A2C9" w14:textId="77777777" w:rsidTr="0835508B">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16A4E1AF" w14:textId="657F2C80" w:rsidR="1EC887A7" w:rsidRDefault="1EC887A7" w:rsidP="1EC887A7">
            <w:pPr>
              <w:jc w:val="center"/>
            </w:pPr>
            <w:r w:rsidRPr="1EC887A7">
              <w:rPr>
                <w:b/>
                <w:bCs/>
                <w:color w:val="FFFFFF" w:themeColor="background1"/>
              </w:rPr>
              <w:t>Jaar</w:t>
            </w:r>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4FED6155" w14:textId="30648E97" w:rsidR="1EC887A7" w:rsidRPr="0000598D" w:rsidRDefault="0000598D" w:rsidP="1EC887A7">
            <w:pPr>
              <w:jc w:val="center"/>
              <w:rPr>
                <w:lang w:val="nl-NL"/>
              </w:rPr>
            </w:pPr>
            <w:r>
              <w:rPr>
                <w:b/>
                <w:bCs/>
                <w:color w:val="FFFFFF" w:themeColor="background1"/>
                <w:lang w:val="nl-NL"/>
              </w:rPr>
              <w:t>Totaalbedrag</w:t>
            </w:r>
          </w:p>
        </w:tc>
        <w:tc>
          <w:tcPr>
            <w:tcW w:w="3005" w:type="dxa"/>
            <w:tcBorders>
              <w:top w:val="single" w:sz="0" w:space="0" w:color="auto"/>
              <w:left w:val="single" w:sz="0" w:space="0" w:color="auto"/>
              <w:bottom w:val="single" w:sz="0" w:space="0" w:color="auto"/>
              <w:right w:val="single" w:sz="0" w:space="0" w:color="auto"/>
            </w:tcBorders>
            <w:shd w:val="clear" w:color="auto" w:fill="00AF63"/>
            <w:vAlign w:val="center"/>
          </w:tcPr>
          <w:p w14:paraId="4BFC3A46" w14:textId="65165AB1" w:rsidR="1EC887A7" w:rsidRDefault="0000598D" w:rsidP="1EC887A7">
            <w:pPr>
              <w:jc w:val="center"/>
            </w:pPr>
            <w:proofErr w:type="spellStart"/>
            <w:r w:rsidRPr="1EC887A7">
              <w:rPr>
                <w:b/>
                <w:bCs/>
                <w:color w:val="FFFFFF" w:themeColor="background1"/>
              </w:rPr>
              <w:t>Rendement</w:t>
            </w:r>
            <w:proofErr w:type="spellEnd"/>
            <w:r w:rsidRPr="1EC887A7">
              <w:rPr>
                <w:b/>
                <w:bCs/>
                <w:color w:val="FFFFFF" w:themeColor="background1"/>
              </w:rPr>
              <w:t xml:space="preserve"> in </w:t>
            </w:r>
            <w:proofErr w:type="spellStart"/>
            <w:r w:rsidRPr="1EC887A7">
              <w:rPr>
                <w:b/>
                <w:bCs/>
                <w:color w:val="FFFFFF" w:themeColor="background1"/>
              </w:rPr>
              <w:t>jaar</w:t>
            </w:r>
            <w:proofErr w:type="spellEnd"/>
          </w:p>
        </w:tc>
      </w:tr>
      <w:tr w:rsidR="1EC887A7" w14:paraId="6EE3878B"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B57952D" w14:textId="0023875A" w:rsidR="1EC887A7" w:rsidRDefault="1EC887A7">
            <w:r>
              <w:t>20</w:t>
            </w:r>
          </w:p>
        </w:tc>
        <w:tc>
          <w:tcPr>
            <w:tcW w:w="3005" w:type="dxa"/>
            <w:tcBorders>
              <w:top w:val="single" w:sz="0" w:space="0" w:color="auto"/>
              <w:left w:val="single" w:sz="0" w:space="0" w:color="auto"/>
              <w:bottom w:val="single" w:sz="0" w:space="0" w:color="auto"/>
              <w:right w:val="single" w:sz="0" w:space="0" w:color="auto"/>
            </w:tcBorders>
            <w:vAlign w:val="center"/>
          </w:tcPr>
          <w:p w14:paraId="16A69E6A" w14:textId="1F4E373E" w:rsidR="1EC887A7" w:rsidRDefault="1EC887A7" w:rsidP="1EC887A7">
            <w:pPr>
              <w:spacing w:line="259" w:lineRule="auto"/>
            </w:pPr>
            <w:r w:rsidRPr="1EC887A7">
              <w:rPr>
                <w:lang w:val="nl-NL"/>
              </w:rPr>
              <w:t>€2191,12</w:t>
            </w:r>
          </w:p>
        </w:tc>
        <w:tc>
          <w:tcPr>
            <w:tcW w:w="3005" w:type="dxa"/>
            <w:tcBorders>
              <w:top w:val="single" w:sz="0" w:space="0" w:color="auto"/>
              <w:left w:val="single" w:sz="0" w:space="0" w:color="auto"/>
              <w:bottom w:val="single" w:sz="0" w:space="0" w:color="auto"/>
              <w:right w:val="single" w:sz="0" w:space="0" w:color="auto"/>
            </w:tcBorders>
            <w:vAlign w:val="center"/>
          </w:tcPr>
          <w:p w14:paraId="3DEAE7FF" w14:textId="34D18ED9" w:rsidR="1EC887A7" w:rsidRDefault="1EC887A7" w:rsidP="1EC887A7">
            <w:pPr>
              <w:spacing w:line="259" w:lineRule="auto"/>
            </w:pPr>
            <w:r>
              <w:t>€84,27</w:t>
            </w:r>
          </w:p>
        </w:tc>
      </w:tr>
      <w:tr w:rsidR="1EC887A7" w14:paraId="29246F3A"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AE9E5D0" w14:textId="1470855F" w:rsidR="1EC887A7" w:rsidRDefault="1EC887A7">
            <w:r>
              <w:t>21</w:t>
            </w:r>
          </w:p>
        </w:tc>
        <w:tc>
          <w:tcPr>
            <w:tcW w:w="3005" w:type="dxa"/>
            <w:tcBorders>
              <w:top w:val="single" w:sz="0" w:space="0" w:color="auto"/>
              <w:left w:val="single" w:sz="0" w:space="0" w:color="auto"/>
              <w:bottom w:val="single" w:sz="0" w:space="0" w:color="auto"/>
              <w:right w:val="single" w:sz="0" w:space="0" w:color="auto"/>
            </w:tcBorders>
            <w:vAlign w:val="center"/>
          </w:tcPr>
          <w:p w14:paraId="5C41E76A" w14:textId="42F8BF16" w:rsidR="1EC887A7" w:rsidRDefault="1EC887A7" w:rsidP="1EC887A7">
            <w:pPr>
              <w:spacing w:line="259" w:lineRule="auto"/>
            </w:pPr>
            <w:r w:rsidRPr="1EC887A7">
              <w:rPr>
                <w:lang w:val="nl-NL"/>
              </w:rPr>
              <w:t>€2278,77</w:t>
            </w:r>
          </w:p>
        </w:tc>
        <w:tc>
          <w:tcPr>
            <w:tcW w:w="3005" w:type="dxa"/>
            <w:tcBorders>
              <w:top w:val="single" w:sz="0" w:space="0" w:color="auto"/>
              <w:left w:val="single" w:sz="0" w:space="0" w:color="auto"/>
              <w:bottom w:val="single" w:sz="0" w:space="0" w:color="auto"/>
              <w:right w:val="single" w:sz="0" w:space="0" w:color="auto"/>
            </w:tcBorders>
            <w:vAlign w:val="center"/>
          </w:tcPr>
          <w:p w14:paraId="1B33AD82" w14:textId="320FA0E5" w:rsidR="1EC887A7" w:rsidRDefault="1EC887A7" w:rsidP="1EC887A7">
            <w:pPr>
              <w:spacing w:line="259" w:lineRule="auto"/>
            </w:pPr>
            <w:r w:rsidRPr="1EC887A7">
              <w:rPr>
                <w:lang w:val="nl-NL"/>
              </w:rPr>
              <w:t>€87,64</w:t>
            </w:r>
          </w:p>
        </w:tc>
      </w:tr>
      <w:tr w:rsidR="1EC887A7" w14:paraId="1D408BB5"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6225C701" w14:textId="1137093E" w:rsidR="1EC887A7" w:rsidRDefault="1EC887A7">
            <w:r>
              <w:t>22</w:t>
            </w:r>
          </w:p>
        </w:tc>
        <w:tc>
          <w:tcPr>
            <w:tcW w:w="3005" w:type="dxa"/>
            <w:tcBorders>
              <w:top w:val="single" w:sz="0" w:space="0" w:color="auto"/>
              <w:left w:val="single" w:sz="0" w:space="0" w:color="auto"/>
              <w:bottom w:val="single" w:sz="0" w:space="0" w:color="auto"/>
              <w:right w:val="single" w:sz="0" w:space="0" w:color="auto"/>
            </w:tcBorders>
            <w:vAlign w:val="center"/>
          </w:tcPr>
          <w:p w14:paraId="7DAD9C91" w14:textId="3EC1AEDA" w:rsidR="1EC887A7" w:rsidRDefault="1EC887A7" w:rsidP="1EC887A7">
            <w:pPr>
              <w:spacing w:line="259" w:lineRule="auto"/>
            </w:pPr>
            <w:r w:rsidRPr="1EC887A7">
              <w:rPr>
                <w:lang w:val="nl-NL"/>
              </w:rPr>
              <w:t>€2369,92</w:t>
            </w:r>
          </w:p>
        </w:tc>
        <w:tc>
          <w:tcPr>
            <w:tcW w:w="3005" w:type="dxa"/>
            <w:tcBorders>
              <w:top w:val="single" w:sz="0" w:space="0" w:color="auto"/>
              <w:left w:val="single" w:sz="0" w:space="0" w:color="auto"/>
              <w:bottom w:val="single" w:sz="0" w:space="0" w:color="auto"/>
              <w:right w:val="single" w:sz="0" w:space="0" w:color="auto"/>
            </w:tcBorders>
            <w:vAlign w:val="center"/>
          </w:tcPr>
          <w:p w14:paraId="02754F90" w14:textId="7ECACB69" w:rsidR="1EC887A7" w:rsidRDefault="1EC887A7" w:rsidP="1EC887A7">
            <w:pPr>
              <w:spacing w:line="259" w:lineRule="auto"/>
            </w:pPr>
            <w:r w:rsidRPr="1EC887A7">
              <w:rPr>
                <w:lang w:val="nl-NL"/>
              </w:rPr>
              <w:t>€91,15</w:t>
            </w:r>
          </w:p>
        </w:tc>
      </w:tr>
      <w:tr w:rsidR="1EC887A7" w14:paraId="587951D8"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B670BAA" w14:textId="5D506DB2" w:rsidR="1EC887A7" w:rsidRDefault="1EC887A7">
            <w:r>
              <w:t>23</w:t>
            </w:r>
          </w:p>
        </w:tc>
        <w:tc>
          <w:tcPr>
            <w:tcW w:w="3005" w:type="dxa"/>
            <w:tcBorders>
              <w:top w:val="single" w:sz="0" w:space="0" w:color="auto"/>
              <w:left w:val="single" w:sz="0" w:space="0" w:color="auto"/>
              <w:bottom w:val="single" w:sz="0" w:space="0" w:color="auto"/>
              <w:right w:val="single" w:sz="0" w:space="0" w:color="auto"/>
            </w:tcBorders>
            <w:vAlign w:val="center"/>
          </w:tcPr>
          <w:p w14:paraId="281E5CCF" w14:textId="7FFB9C3D" w:rsidR="1EC887A7" w:rsidRDefault="1EC887A7" w:rsidP="1EC887A7">
            <w:pPr>
              <w:spacing w:line="259" w:lineRule="auto"/>
            </w:pPr>
            <w:r w:rsidRPr="1EC887A7">
              <w:rPr>
                <w:lang w:val="nl-NL"/>
              </w:rPr>
              <w:t>€2464,71</w:t>
            </w:r>
          </w:p>
        </w:tc>
        <w:tc>
          <w:tcPr>
            <w:tcW w:w="3005" w:type="dxa"/>
            <w:tcBorders>
              <w:top w:val="single" w:sz="0" w:space="0" w:color="auto"/>
              <w:left w:val="single" w:sz="0" w:space="0" w:color="auto"/>
              <w:bottom w:val="single" w:sz="0" w:space="0" w:color="auto"/>
              <w:right w:val="single" w:sz="0" w:space="0" w:color="auto"/>
            </w:tcBorders>
            <w:vAlign w:val="center"/>
          </w:tcPr>
          <w:p w14:paraId="1058CE5D" w14:textId="067BC71D" w:rsidR="1EC887A7" w:rsidRDefault="1EC887A7" w:rsidP="1EC887A7">
            <w:pPr>
              <w:spacing w:line="259" w:lineRule="auto"/>
            </w:pPr>
            <w:r w:rsidRPr="1EC887A7">
              <w:rPr>
                <w:lang w:val="nl-NL"/>
              </w:rPr>
              <w:t>€94,80</w:t>
            </w:r>
          </w:p>
        </w:tc>
      </w:tr>
      <w:tr w:rsidR="1EC887A7" w14:paraId="161A24A7"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0D5A2B98" w14:textId="4023E7ED" w:rsidR="1EC887A7" w:rsidRDefault="1EC887A7">
            <w:r>
              <w:t>24</w:t>
            </w:r>
          </w:p>
        </w:tc>
        <w:tc>
          <w:tcPr>
            <w:tcW w:w="3005" w:type="dxa"/>
            <w:tcBorders>
              <w:top w:val="single" w:sz="0" w:space="0" w:color="auto"/>
              <w:left w:val="single" w:sz="0" w:space="0" w:color="auto"/>
              <w:bottom w:val="single" w:sz="0" w:space="0" w:color="auto"/>
              <w:right w:val="single" w:sz="0" w:space="0" w:color="auto"/>
            </w:tcBorders>
            <w:vAlign w:val="center"/>
          </w:tcPr>
          <w:p w14:paraId="10D71430" w14:textId="4780DCC8" w:rsidR="1EC887A7" w:rsidRDefault="1EC887A7" w:rsidP="1EC887A7">
            <w:pPr>
              <w:spacing w:line="259" w:lineRule="auto"/>
            </w:pPr>
            <w:r w:rsidRPr="1EC887A7">
              <w:rPr>
                <w:lang w:val="nl-NL"/>
              </w:rPr>
              <w:t>€2563,30</w:t>
            </w:r>
          </w:p>
        </w:tc>
        <w:tc>
          <w:tcPr>
            <w:tcW w:w="3005" w:type="dxa"/>
            <w:tcBorders>
              <w:top w:val="single" w:sz="0" w:space="0" w:color="auto"/>
              <w:left w:val="single" w:sz="0" w:space="0" w:color="auto"/>
              <w:bottom w:val="single" w:sz="0" w:space="0" w:color="auto"/>
              <w:right w:val="single" w:sz="0" w:space="0" w:color="auto"/>
            </w:tcBorders>
            <w:vAlign w:val="center"/>
          </w:tcPr>
          <w:p w14:paraId="78CFF698" w14:textId="3A226792" w:rsidR="1EC887A7" w:rsidRDefault="1EC887A7" w:rsidP="1EC887A7">
            <w:pPr>
              <w:spacing w:line="259" w:lineRule="auto"/>
            </w:pPr>
            <w:r w:rsidRPr="1EC887A7">
              <w:rPr>
                <w:lang w:val="nl-NL"/>
              </w:rPr>
              <w:t>€98,59</w:t>
            </w:r>
          </w:p>
        </w:tc>
      </w:tr>
      <w:tr w:rsidR="1EC887A7" w14:paraId="7AA6F769"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1FB22D88" w14:textId="3BCE565A" w:rsidR="1EC887A7" w:rsidRDefault="1EC887A7">
            <w:r>
              <w:t>25</w:t>
            </w:r>
          </w:p>
        </w:tc>
        <w:tc>
          <w:tcPr>
            <w:tcW w:w="3005" w:type="dxa"/>
            <w:tcBorders>
              <w:top w:val="single" w:sz="0" w:space="0" w:color="auto"/>
              <w:left w:val="single" w:sz="0" w:space="0" w:color="auto"/>
              <w:bottom w:val="single" w:sz="0" w:space="0" w:color="auto"/>
              <w:right w:val="single" w:sz="0" w:space="0" w:color="auto"/>
            </w:tcBorders>
            <w:vAlign w:val="center"/>
          </w:tcPr>
          <w:p w14:paraId="7D6B211D" w14:textId="1AFB9C27" w:rsidR="1EC887A7" w:rsidRDefault="1EC887A7" w:rsidP="1EC887A7">
            <w:pPr>
              <w:spacing w:line="259" w:lineRule="auto"/>
            </w:pPr>
            <w:r w:rsidRPr="1EC887A7">
              <w:rPr>
                <w:lang w:val="nl-NL"/>
              </w:rPr>
              <w:t>€2665,83</w:t>
            </w:r>
          </w:p>
        </w:tc>
        <w:tc>
          <w:tcPr>
            <w:tcW w:w="3005" w:type="dxa"/>
            <w:tcBorders>
              <w:top w:val="single" w:sz="0" w:space="0" w:color="auto"/>
              <w:left w:val="single" w:sz="0" w:space="0" w:color="auto"/>
              <w:bottom w:val="single" w:sz="0" w:space="0" w:color="auto"/>
              <w:right w:val="single" w:sz="0" w:space="0" w:color="auto"/>
            </w:tcBorders>
            <w:vAlign w:val="center"/>
          </w:tcPr>
          <w:p w14:paraId="51F56D16" w14:textId="0136F77D" w:rsidR="1EC887A7" w:rsidRDefault="1EC887A7" w:rsidP="1EC887A7">
            <w:pPr>
              <w:spacing w:line="259" w:lineRule="auto"/>
            </w:pPr>
            <w:r w:rsidRPr="1EC887A7">
              <w:rPr>
                <w:lang w:val="nl-NL"/>
              </w:rPr>
              <w:t>€102,53</w:t>
            </w:r>
          </w:p>
        </w:tc>
      </w:tr>
      <w:tr w:rsidR="1EC887A7" w14:paraId="0E7AA1C6"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52290404" w14:textId="54B5509C" w:rsidR="1EC887A7" w:rsidRDefault="1EC887A7">
            <w:r>
              <w:t>26</w:t>
            </w:r>
          </w:p>
        </w:tc>
        <w:tc>
          <w:tcPr>
            <w:tcW w:w="3005" w:type="dxa"/>
            <w:tcBorders>
              <w:top w:val="single" w:sz="0" w:space="0" w:color="auto"/>
              <w:left w:val="single" w:sz="0" w:space="0" w:color="auto"/>
              <w:bottom w:val="single" w:sz="0" w:space="0" w:color="auto"/>
              <w:right w:val="single" w:sz="0" w:space="0" w:color="auto"/>
            </w:tcBorders>
            <w:vAlign w:val="center"/>
          </w:tcPr>
          <w:p w14:paraId="0752CBB6" w14:textId="2DA4B99B" w:rsidR="1EC887A7" w:rsidRDefault="1EC887A7" w:rsidP="1EC887A7">
            <w:pPr>
              <w:spacing w:line="259" w:lineRule="auto"/>
            </w:pPr>
            <w:r w:rsidRPr="1EC887A7">
              <w:rPr>
                <w:lang w:val="nl-NL"/>
              </w:rPr>
              <w:t>€2772,47</w:t>
            </w:r>
          </w:p>
        </w:tc>
        <w:tc>
          <w:tcPr>
            <w:tcW w:w="3005" w:type="dxa"/>
            <w:tcBorders>
              <w:top w:val="single" w:sz="0" w:space="0" w:color="auto"/>
              <w:left w:val="single" w:sz="0" w:space="0" w:color="auto"/>
              <w:bottom w:val="single" w:sz="0" w:space="0" w:color="auto"/>
              <w:right w:val="single" w:sz="0" w:space="0" w:color="auto"/>
            </w:tcBorders>
            <w:vAlign w:val="center"/>
          </w:tcPr>
          <w:p w14:paraId="2BB1536F" w14:textId="19886364" w:rsidR="1EC887A7" w:rsidRDefault="1EC887A7" w:rsidP="1EC887A7">
            <w:pPr>
              <w:spacing w:line="259" w:lineRule="auto"/>
            </w:pPr>
            <w:r w:rsidRPr="1EC887A7">
              <w:rPr>
                <w:lang w:val="nl-NL"/>
              </w:rPr>
              <w:t>€106,63</w:t>
            </w:r>
          </w:p>
        </w:tc>
      </w:tr>
      <w:tr w:rsidR="1EC887A7" w14:paraId="0913E9FC"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5886224B" w14:textId="4A9DFC05" w:rsidR="1EC887A7" w:rsidRDefault="1EC887A7">
            <w:r>
              <w:t>27</w:t>
            </w:r>
          </w:p>
        </w:tc>
        <w:tc>
          <w:tcPr>
            <w:tcW w:w="3005" w:type="dxa"/>
            <w:tcBorders>
              <w:top w:val="single" w:sz="0" w:space="0" w:color="auto"/>
              <w:left w:val="single" w:sz="0" w:space="0" w:color="auto"/>
              <w:bottom w:val="single" w:sz="0" w:space="0" w:color="auto"/>
              <w:right w:val="single" w:sz="0" w:space="0" w:color="auto"/>
            </w:tcBorders>
            <w:vAlign w:val="center"/>
          </w:tcPr>
          <w:p w14:paraId="742EB16B" w14:textId="7BED819E" w:rsidR="1EC887A7" w:rsidRDefault="1EC887A7" w:rsidP="1EC887A7">
            <w:pPr>
              <w:spacing w:line="259" w:lineRule="auto"/>
            </w:pPr>
            <w:r w:rsidRPr="1EC887A7">
              <w:rPr>
                <w:lang w:val="nl-NL"/>
              </w:rPr>
              <w:t>€2883,36</w:t>
            </w:r>
          </w:p>
        </w:tc>
        <w:tc>
          <w:tcPr>
            <w:tcW w:w="3005" w:type="dxa"/>
            <w:tcBorders>
              <w:top w:val="single" w:sz="0" w:space="0" w:color="auto"/>
              <w:left w:val="single" w:sz="0" w:space="0" w:color="auto"/>
              <w:bottom w:val="single" w:sz="0" w:space="0" w:color="auto"/>
              <w:right w:val="single" w:sz="0" w:space="0" w:color="auto"/>
            </w:tcBorders>
            <w:vAlign w:val="center"/>
          </w:tcPr>
          <w:p w14:paraId="706EB9A9" w14:textId="00033EB5" w:rsidR="1EC887A7" w:rsidRDefault="1EC887A7" w:rsidP="1EC887A7">
            <w:pPr>
              <w:spacing w:line="259" w:lineRule="auto"/>
            </w:pPr>
            <w:r w:rsidRPr="1EC887A7">
              <w:rPr>
                <w:lang w:val="nl-NL"/>
              </w:rPr>
              <w:t>€110,90</w:t>
            </w:r>
          </w:p>
        </w:tc>
      </w:tr>
      <w:tr w:rsidR="1EC887A7" w14:paraId="7AABF5FB"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53A1CBA4" w14:textId="44FEF990" w:rsidR="1EC887A7" w:rsidRDefault="1EC887A7">
            <w:r>
              <w:t>28</w:t>
            </w:r>
          </w:p>
        </w:tc>
        <w:tc>
          <w:tcPr>
            <w:tcW w:w="3005" w:type="dxa"/>
            <w:tcBorders>
              <w:top w:val="single" w:sz="0" w:space="0" w:color="auto"/>
              <w:left w:val="single" w:sz="0" w:space="0" w:color="auto"/>
              <w:bottom w:val="single" w:sz="0" w:space="0" w:color="auto"/>
              <w:right w:val="single" w:sz="0" w:space="0" w:color="auto"/>
            </w:tcBorders>
            <w:vAlign w:val="center"/>
          </w:tcPr>
          <w:p w14:paraId="03A57D5D" w14:textId="65B99029" w:rsidR="1EC887A7" w:rsidRDefault="1EC887A7" w:rsidP="1EC887A7">
            <w:pPr>
              <w:spacing w:line="259" w:lineRule="auto"/>
            </w:pPr>
            <w:r w:rsidRPr="1EC887A7">
              <w:rPr>
                <w:lang w:val="nl-NL"/>
              </w:rPr>
              <w:t>€2998,70</w:t>
            </w:r>
          </w:p>
        </w:tc>
        <w:tc>
          <w:tcPr>
            <w:tcW w:w="3005" w:type="dxa"/>
            <w:tcBorders>
              <w:top w:val="single" w:sz="0" w:space="0" w:color="auto"/>
              <w:left w:val="single" w:sz="0" w:space="0" w:color="auto"/>
              <w:bottom w:val="single" w:sz="0" w:space="0" w:color="auto"/>
              <w:right w:val="single" w:sz="0" w:space="0" w:color="auto"/>
            </w:tcBorders>
            <w:vAlign w:val="center"/>
          </w:tcPr>
          <w:p w14:paraId="6817D35D" w14:textId="2363E97E" w:rsidR="1EC887A7" w:rsidRDefault="1EC887A7" w:rsidP="1EC887A7">
            <w:pPr>
              <w:spacing w:line="259" w:lineRule="auto"/>
            </w:pPr>
            <w:r w:rsidRPr="1EC887A7">
              <w:rPr>
                <w:lang w:val="nl-NL"/>
              </w:rPr>
              <w:t>€115,33</w:t>
            </w:r>
          </w:p>
        </w:tc>
      </w:tr>
      <w:tr w:rsidR="1EC887A7" w14:paraId="486CFB2F"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6129F22B" w14:textId="288F93A2" w:rsidR="1EC887A7" w:rsidRDefault="1EC887A7">
            <w:r>
              <w:t>29</w:t>
            </w:r>
          </w:p>
        </w:tc>
        <w:tc>
          <w:tcPr>
            <w:tcW w:w="3005" w:type="dxa"/>
            <w:tcBorders>
              <w:top w:val="single" w:sz="0" w:space="0" w:color="auto"/>
              <w:left w:val="single" w:sz="0" w:space="0" w:color="auto"/>
              <w:bottom w:val="single" w:sz="0" w:space="0" w:color="auto"/>
              <w:right w:val="single" w:sz="0" w:space="0" w:color="auto"/>
            </w:tcBorders>
            <w:vAlign w:val="center"/>
          </w:tcPr>
          <w:p w14:paraId="5D160B7C" w14:textId="2AFEF256" w:rsidR="1EC887A7" w:rsidRDefault="1EC887A7" w:rsidP="1EC887A7">
            <w:pPr>
              <w:spacing w:line="259" w:lineRule="auto"/>
            </w:pPr>
            <w:r w:rsidRPr="1EC887A7">
              <w:rPr>
                <w:lang w:val="nl-NL"/>
              </w:rPr>
              <w:t>€3118,65</w:t>
            </w:r>
          </w:p>
        </w:tc>
        <w:tc>
          <w:tcPr>
            <w:tcW w:w="3005" w:type="dxa"/>
            <w:tcBorders>
              <w:top w:val="single" w:sz="0" w:space="0" w:color="auto"/>
              <w:left w:val="single" w:sz="0" w:space="0" w:color="auto"/>
              <w:bottom w:val="single" w:sz="0" w:space="0" w:color="auto"/>
              <w:right w:val="single" w:sz="0" w:space="0" w:color="auto"/>
            </w:tcBorders>
            <w:vAlign w:val="center"/>
          </w:tcPr>
          <w:p w14:paraId="708CC3AC" w14:textId="7121DBF2" w:rsidR="1EC887A7" w:rsidRDefault="1EC887A7" w:rsidP="1EC887A7">
            <w:pPr>
              <w:spacing w:line="259" w:lineRule="auto"/>
            </w:pPr>
            <w:r w:rsidRPr="1EC887A7">
              <w:rPr>
                <w:lang w:val="nl-NL"/>
              </w:rPr>
              <w:t>€119,95</w:t>
            </w:r>
          </w:p>
        </w:tc>
      </w:tr>
      <w:tr w:rsidR="1EC887A7" w14:paraId="7BC18BF5" w14:textId="77777777" w:rsidTr="0835508B">
        <w:tc>
          <w:tcPr>
            <w:tcW w:w="3005" w:type="dxa"/>
            <w:tcBorders>
              <w:top w:val="single" w:sz="0" w:space="0" w:color="auto"/>
              <w:left w:val="single" w:sz="0" w:space="0" w:color="auto"/>
              <w:bottom w:val="single" w:sz="0" w:space="0" w:color="auto"/>
              <w:right w:val="single" w:sz="0" w:space="0" w:color="auto"/>
            </w:tcBorders>
            <w:vAlign w:val="center"/>
          </w:tcPr>
          <w:p w14:paraId="58D16348" w14:textId="213A7DE6" w:rsidR="1EC887A7" w:rsidRDefault="1EC887A7">
            <w:r>
              <w:t>30</w:t>
            </w:r>
          </w:p>
        </w:tc>
        <w:tc>
          <w:tcPr>
            <w:tcW w:w="3005" w:type="dxa"/>
            <w:tcBorders>
              <w:top w:val="single" w:sz="0" w:space="0" w:color="auto"/>
              <w:left w:val="single" w:sz="0" w:space="0" w:color="auto"/>
              <w:bottom w:val="single" w:sz="0" w:space="0" w:color="auto"/>
              <w:right w:val="single" w:sz="0" w:space="0" w:color="auto"/>
            </w:tcBorders>
            <w:vAlign w:val="center"/>
          </w:tcPr>
          <w:p w14:paraId="42DD6D6B" w14:textId="4A03EE0B" w:rsidR="1EC887A7" w:rsidRDefault="1EC887A7" w:rsidP="1EC887A7">
            <w:pPr>
              <w:spacing w:line="259" w:lineRule="auto"/>
            </w:pPr>
            <w:r w:rsidRPr="1EC887A7">
              <w:rPr>
                <w:lang w:val="nl-NL"/>
              </w:rPr>
              <w:t>€3243,49</w:t>
            </w:r>
          </w:p>
        </w:tc>
        <w:tc>
          <w:tcPr>
            <w:tcW w:w="3005" w:type="dxa"/>
            <w:tcBorders>
              <w:top w:val="single" w:sz="0" w:space="0" w:color="auto"/>
              <w:left w:val="single" w:sz="0" w:space="0" w:color="auto"/>
              <w:bottom w:val="single" w:sz="0" w:space="0" w:color="auto"/>
              <w:right w:val="single" w:sz="0" w:space="0" w:color="auto"/>
            </w:tcBorders>
            <w:vAlign w:val="center"/>
          </w:tcPr>
          <w:p w14:paraId="6FA47787" w14:textId="216ADF32" w:rsidR="1EC887A7" w:rsidRDefault="1EC887A7" w:rsidP="1EC887A7">
            <w:pPr>
              <w:spacing w:line="259" w:lineRule="auto"/>
            </w:pPr>
            <w:r w:rsidRPr="1EC887A7">
              <w:rPr>
                <w:lang w:val="nl-NL"/>
              </w:rPr>
              <w:t>€124,75</w:t>
            </w:r>
          </w:p>
        </w:tc>
      </w:tr>
    </w:tbl>
    <w:p w14:paraId="0D5C25F3" w14:textId="25F855D6" w:rsidR="42A17DE8" w:rsidRDefault="42A17DE8">
      <w:r w:rsidRPr="0835508B">
        <w:rPr>
          <w:rFonts w:ascii="Calibri" w:eastAsia="Calibri" w:hAnsi="Calibri" w:cs="Calibri"/>
          <w:color w:val="333333"/>
          <w:sz w:val="15"/>
          <w:szCs w:val="15"/>
          <w:lang/>
        </w:rPr>
        <w:t>Let op: dit voorbeeld is ook écht een voorbeeld. We rekenden hiervoor met een verwacht rendement van 4% en een jaarlijkse inleg van €1.000. Maar de financiële markten zijn niet zo voorspelbaar als hierboven: aan beleggen zijn altijd risico’s verbonden, er is nooit sprake van een gegarandeerd rendement en resultaten uit het verleden bieden geen garantie voor de toekomst.</w:t>
      </w:r>
    </w:p>
    <w:p w14:paraId="3C86E6A7" w14:textId="66466BD4" w:rsidR="4C28FB2E" w:rsidRDefault="4C28FB2E">
      <w:r>
        <w:br/>
      </w:r>
      <w:r w:rsidRPr="0835508B">
        <w:rPr>
          <w:rFonts w:ascii="Calibri" w:eastAsia="Calibri" w:hAnsi="Calibri" w:cs="Calibri"/>
          <w:color w:val="333333"/>
          <w:sz w:val="27"/>
          <w:szCs w:val="27"/>
          <w:lang/>
        </w:rPr>
        <w:t xml:space="preserve">Ziet u? Waar uw rendement in de tweede 10 jaar nog met ruim </w:t>
      </w:r>
      <w:r w:rsidR="28CE5A55" w:rsidRPr="0835508B">
        <w:rPr>
          <w:rFonts w:ascii="Calibri" w:eastAsia="Calibri" w:hAnsi="Calibri" w:cs="Calibri"/>
          <w:color w:val="333333"/>
          <w:sz w:val="27"/>
          <w:szCs w:val="27"/>
          <w:lang/>
        </w:rPr>
        <w:t>€</w:t>
      </w:r>
      <w:r w:rsidRPr="0835508B">
        <w:rPr>
          <w:rFonts w:ascii="Calibri" w:eastAsia="Calibri" w:hAnsi="Calibri" w:cs="Calibri"/>
          <w:color w:val="333333"/>
          <w:sz w:val="27"/>
          <w:szCs w:val="27"/>
          <w:lang/>
        </w:rPr>
        <w:t>700 steeg, stijgt het rendement in de derde 10 jaar met ruim €1</w:t>
      </w:r>
      <w:r w:rsidR="1BE6CAC8" w:rsidRPr="0835508B">
        <w:rPr>
          <w:rFonts w:ascii="Calibri" w:eastAsia="Calibri" w:hAnsi="Calibri" w:cs="Calibri"/>
          <w:color w:val="333333"/>
          <w:sz w:val="27"/>
          <w:szCs w:val="27"/>
          <w:lang/>
        </w:rPr>
        <w:t>.</w:t>
      </w:r>
      <w:r w:rsidRPr="0835508B">
        <w:rPr>
          <w:rFonts w:ascii="Calibri" w:eastAsia="Calibri" w:hAnsi="Calibri" w:cs="Calibri"/>
          <w:color w:val="333333"/>
          <w:sz w:val="27"/>
          <w:szCs w:val="27"/>
          <w:lang/>
        </w:rPr>
        <w:t>000. Het verschil tussen uw inleg en rendement wordt na verloop van tijd dus steeds groter. Vrij vertaald: u ontvangt steeds meer rendement voor hetzelfde nietsdoen.</w:t>
      </w:r>
    </w:p>
    <w:p w14:paraId="37E7D511" w14:textId="15E0B92D" w:rsidR="4C28FB2E" w:rsidRDefault="4C28FB2E" w:rsidP="0835508B">
      <w:pPr>
        <w:pStyle w:val="Heading2"/>
        <w:jc w:val="center"/>
        <w:rPr>
          <w:rFonts w:ascii="Calibri" w:eastAsia="Calibri" w:hAnsi="Calibri" w:cs="Calibri"/>
          <w:color w:val="333333"/>
          <w:sz w:val="39"/>
          <w:szCs w:val="39"/>
          <w:lang/>
        </w:rPr>
      </w:pPr>
      <w:r w:rsidRPr="0835508B">
        <w:rPr>
          <w:rFonts w:ascii="Calibri" w:eastAsia="Calibri" w:hAnsi="Calibri" w:cs="Calibri"/>
          <w:color w:val="333333"/>
          <w:sz w:val="39"/>
          <w:szCs w:val="39"/>
          <w:lang/>
        </w:rPr>
        <w:t xml:space="preserve">Hoe langer u belegt, hoe hoger het rendement </w:t>
      </w:r>
      <w:r w:rsidR="0592E30C" w:rsidRPr="0835508B">
        <w:rPr>
          <w:rFonts w:ascii="Calibri" w:eastAsia="Calibri" w:hAnsi="Calibri" w:cs="Calibri"/>
          <w:color w:val="333333"/>
          <w:sz w:val="39"/>
          <w:szCs w:val="39"/>
          <w:lang/>
        </w:rPr>
        <w:t>(</w:t>
      </w:r>
      <w:r w:rsidRPr="0835508B">
        <w:rPr>
          <w:rFonts w:ascii="Calibri" w:eastAsia="Calibri" w:hAnsi="Calibri" w:cs="Calibri"/>
          <w:color w:val="333333"/>
          <w:sz w:val="39"/>
          <w:szCs w:val="39"/>
          <w:lang/>
        </w:rPr>
        <w:t>op rendement</w:t>
      </w:r>
      <w:r w:rsidR="6F0C932C" w:rsidRPr="0835508B">
        <w:rPr>
          <w:rFonts w:ascii="Calibri" w:eastAsia="Calibri" w:hAnsi="Calibri" w:cs="Calibri"/>
          <w:color w:val="333333"/>
          <w:sz w:val="39"/>
          <w:szCs w:val="39"/>
          <w:lang/>
        </w:rPr>
        <w:t>)</w:t>
      </w:r>
    </w:p>
    <w:p w14:paraId="19166F53" w14:textId="5FB265FC" w:rsidR="4C28FB2E" w:rsidRDefault="4C28FB2E">
      <w:r>
        <w:rPr>
          <w:noProof/>
        </w:rPr>
        <w:drawing>
          <wp:inline distT="0" distB="0" distL="0" distR="0" wp14:anchorId="6152947F" wp14:editId="679AD8EB">
            <wp:extent cx="5572125" cy="3124200"/>
            <wp:effectExtent l="0" t="0" r="0" b="0"/>
            <wp:docPr id="1539956546" name="Picture 153995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2125" cy="3124200"/>
                    </a:xfrm>
                    <a:prstGeom prst="rect">
                      <a:avLst/>
                    </a:prstGeom>
                  </pic:spPr>
                </pic:pic>
              </a:graphicData>
            </a:graphic>
          </wp:inline>
        </w:drawing>
      </w:r>
    </w:p>
    <w:p w14:paraId="404A83B6" w14:textId="3DEACC58" w:rsidR="5FD3F4DE" w:rsidRDefault="5FD3F4DE">
      <w:r w:rsidRPr="0835508B">
        <w:rPr>
          <w:rFonts w:ascii="Calibri" w:eastAsia="Calibri" w:hAnsi="Calibri" w:cs="Calibri"/>
          <w:color w:val="333333"/>
          <w:sz w:val="15"/>
          <w:szCs w:val="15"/>
          <w:lang/>
        </w:rPr>
        <w:lastRenderedPageBreak/>
        <w:t>Let op: dit voorbeeld is ook écht een voorbeeld. We rekenden hiervoor met een verwacht rendement van 4%. Maar de financiële markten zijn niet zo voorspelbaar als hierboven: aan beleggen zijn altijd risico’s verbonden, er is nooit sprake van een gegarandeerd rendement en resultaten uit het verleden bieden geen garantie voor de toekomst.</w:t>
      </w:r>
    </w:p>
    <w:p w14:paraId="5C5F2FD2" w14:textId="0B31E952" w:rsidR="0835508B" w:rsidRDefault="0835508B" w:rsidP="0835508B">
      <w:pPr>
        <w:rPr>
          <w:rFonts w:ascii="Calibri" w:eastAsia="Calibri" w:hAnsi="Calibri" w:cs="Calibri"/>
          <w:color w:val="333333"/>
          <w:sz w:val="15"/>
          <w:szCs w:val="15"/>
          <w:lang/>
        </w:rPr>
      </w:pPr>
    </w:p>
    <w:p w14:paraId="0844B0FF" w14:textId="316DD79C" w:rsidR="4C28FB2E" w:rsidRDefault="4C28FB2E" w:rsidP="1EC887A7">
      <w:pPr>
        <w:pStyle w:val="Heading4"/>
      </w:pPr>
      <w:r w:rsidRPr="1EC887A7">
        <w:rPr>
          <w:rFonts w:ascii="Calibri" w:eastAsia="Calibri" w:hAnsi="Calibri" w:cs="Calibri"/>
          <w:b/>
          <w:bCs/>
          <w:i w:val="0"/>
          <w:iCs w:val="0"/>
          <w:color w:val="333333"/>
          <w:sz w:val="30"/>
          <w:szCs w:val="30"/>
          <w:lang/>
        </w:rPr>
        <w:t xml:space="preserve">Wat als u vaker inlegt? </w:t>
      </w:r>
    </w:p>
    <w:p w14:paraId="01CBED39" w14:textId="4EEEEF24" w:rsidR="4C28FB2E" w:rsidRDefault="4C28FB2E">
      <w:r w:rsidRPr="1EC887A7">
        <w:rPr>
          <w:rFonts w:ascii="Calibri" w:eastAsia="Calibri" w:hAnsi="Calibri" w:cs="Calibri"/>
          <w:color w:val="333333"/>
          <w:sz w:val="27"/>
          <w:szCs w:val="27"/>
          <w:lang/>
        </w:rPr>
        <w:t>Natuurlijk zijn er heel veel mensen die niet eenmalig, maar periodiek (dus per maand of per jaar) een (vast) bedrag inleggen. Of zo nu en dan eens een storting doen. En dat is heel slim.</w:t>
      </w:r>
    </w:p>
    <w:p w14:paraId="6B30BC9D" w14:textId="50834622" w:rsidR="4C28FB2E" w:rsidRDefault="4C28FB2E">
      <w:r w:rsidRPr="0835508B">
        <w:rPr>
          <w:rFonts w:ascii="Calibri" w:eastAsia="Calibri" w:hAnsi="Calibri" w:cs="Calibri"/>
          <w:color w:val="333333"/>
          <w:sz w:val="27"/>
          <w:szCs w:val="27"/>
          <w:lang/>
        </w:rPr>
        <w:t xml:space="preserve">Want niet alleen beperkt u daarmee </w:t>
      </w:r>
      <w:r w:rsidR="0A5A00C7" w:rsidRPr="0835508B">
        <w:rPr>
          <w:rFonts w:ascii="Calibri" w:eastAsia="Calibri" w:hAnsi="Calibri" w:cs="Calibri"/>
          <w:color w:val="333333"/>
          <w:sz w:val="27"/>
          <w:szCs w:val="27"/>
          <w:lang/>
        </w:rPr>
        <w:t>éé</w:t>
      </w:r>
      <w:r w:rsidRPr="0835508B">
        <w:rPr>
          <w:rFonts w:ascii="Calibri" w:eastAsia="Calibri" w:hAnsi="Calibri" w:cs="Calibri"/>
          <w:color w:val="333333"/>
          <w:sz w:val="27"/>
          <w:szCs w:val="27"/>
          <w:lang/>
        </w:rPr>
        <w:t>n van de risico’s van beleggen, u profiteert ook met ál die stortingen van het rendement op rendement-effect. En dat effect wordt op de lange termijn dus steeds groter.</w:t>
      </w:r>
    </w:p>
    <w:p w14:paraId="23D2702D" w14:textId="1197509A" w:rsidR="4C28FB2E" w:rsidRDefault="4C28FB2E">
      <w:r w:rsidRPr="0835508B">
        <w:rPr>
          <w:rFonts w:ascii="Calibri" w:eastAsia="Calibri" w:hAnsi="Calibri" w:cs="Calibri"/>
          <w:color w:val="333333"/>
          <w:sz w:val="27"/>
          <w:szCs w:val="27"/>
          <w:lang/>
        </w:rPr>
        <w:t>Maar weer eens een voorbeeld: u stort ieder jaar €1.000 en doet dat 30 jaar lang. Met de eerste storting van €1</w:t>
      </w:r>
      <w:r w:rsidR="4621E0A6" w:rsidRPr="0835508B">
        <w:rPr>
          <w:rFonts w:ascii="Calibri" w:eastAsia="Calibri" w:hAnsi="Calibri" w:cs="Calibri"/>
          <w:color w:val="333333"/>
          <w:sz w:val="27"/>
          <w:szCs w:val="27"/>
          <w:lang/>
        </w:rPr>
        <w:t>.</w:t>
      </w:r>
      <w:r w:rsidRPr="0835508B">
        <w:rPr>
          <w:rFonts w:ascii="Calibri" w:eastAsia="Calibri" w:hAnsi="Calibri" w:cs="Calibri"/>
          <w:color w:val="333333"/>
          <w:sz w:val="27"/>
          <w:szCs w:val="27"/>
          <w:lang/>
        </w:rPr>
        <w:t>000 profiteert u dan 30 jaar van het rendement op rendement-effect, met de tweede storting 29 jaar, met de derde storting 28 jaar, met de vierde… u begrijpt het.</w:t>
      </w:r>
    </w:p>
    <w:p w14:paraId="1152853D" w14:textId="5B931B1F" w:rsidR="4C28FB2E" w:rsidRDefault="4C28FB2E">
      <w:r w:rsidRPr="1EC887A7">
        <w:rPr>
          <w:rFonts w:ascii="Calibri" w:eastAsia="Calibri" w:hAnsi="Calibri" w:cs="Calibri"/>
          <w:color w:val="333333"/>
          <w:sz w:val="27"/>
          <w:szCs w:val="27"/>
          <w:lang/>
        </w:rPr>
        <w:t>Die extra stortingen leveren dus een mooie bijdrage aan uw extra behaalde rendement. Ziet u hieronder ook. Kijk maar: als we rekenen met een jaarlijks rendement van 4%, is het totale rendement na jaar 1 €40 (4%) en na dertig jaar liefst €28.328 (94%!).</w:t>
      </w:r>
    </w:p>
    <w:p w14:paraId="248EBF54" w14:textId="52859E7E" w:rsidR="4C28FB2E" w:rsidRDefault="4C28FB2E" w:rsidP="0835508B">
      <w:pPr>
        <w:pStyle w:val="Heading2"/>
        <w:jc w:val="center"/>
      </w:pPr>
      <w:r w:rsidRPr="0835508B">
        <w:rPr>
          <w:rFonts w:ascii="Calibri" w:eastAsia="Calibri" w:hAnsi="Calibri" w:cs="Calibri"/>
          <w:color w:val="333333"/>
          <w:sz w:val="39"/>
          <w:szCs w:val="39"/>
          <w:lang/>
        </w:rPr>
        <w:t>Periodiek inleggen en rendement op rendement</w:t>
      </w:r>
    </w:p>
    <w:p w14:paraId="5C5B1842" w14:textId="5546544A" w:rsidR="4C28FB2E" w:rsidRDefault="4C28FB2E">
      <w:r>
        <w:rPr>
          <w:noProof/>
        </w:rPr>
        <w:drawing>
          <wp:inline distT="0" distB="0" distL="0" distR="0" wp14:anchorId="1F84E0EC" wp14:editId="104CC754">
            <wp:extent cx="5724524" cy="3114675"/>
            <wp:effectExtent l="0" t="0" r="0" b="0"/>
            <wp:docPr id="1463429662" name="Picture 146342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4" cy="3114675"/>
                    </a:xfrm>
                    <a:prstGeom prst="rect">
                      <a:avLst/>
                    </a:prstGeom>
                  </pic:spPr>
                </pic:pic>
              </a:graphicData>
            </a:graphic>
          </wp:inline>
        </w:drawing>
      </w:r>
    </w:p>
    <w:p w14:paraId="76863F78" w14:textId="39E53FDC" w:rsidR="4C28FB2E" w:rsidRDefault="4C28FB2E">
      <w:r w:rsidRPr="0835508B">
        <w:rPr>
          <w:rFonts w:ascii="Calibri" w:eastAsia="Calibri" w:hAnsi="Calibri" w:cs="Calibri"/>
          <w:color w:val="333333"/>
          <w:sz w:val="15"/>
          <w:szCs w:val="15"/>
          <w:lang/>
        </w:rPr>
        <w:t>Let op: dit voorbeeld is ook écht een voorbeeld. We rekenden hiervoor met een verwacht rendement van 4%</w:t>
      </w:r>
      <w:r w:rsidR="6366863C" w:rsidRPr="0835508B">
        <w:rPr>
          <w:rFonts w:ascii="Calibri" w:eastAsia="Calibri" w:hAnsi="Calibri" w:cs="Calibri"/>
          <w:color w:val="333333"/>
          <w:sz w:val="15"/>
          <w:szCs w:val="15"/>
          <w:lang/>
        </w:rPr>
        <w:t xml:space="preserve"> en een jaarlijkse inleg van €1.000</w:t>
      </w:r>
      <w:r w:rsidRPr="0835508B">
        <w:rPr>
          <w:rFonts w:ascii="Calibri" w:eastAsia="Calibri" w:hAnsi="Calibri" w:cs="Calibri"/>
          <w:color w:val="333333"/>
          <w:sz w:val="15"/>
          <w:szCs w:val="15"/>
          <w:lang/>
        </w:rPr>
        <w:t xml:space="preserve">. Maar de financiële markten zijn niet zo </w:t>
      </w:r>
      <w:r w:rsidR="26920D2C" w:rsidRPr="0835508B">
        <w:rPr>
          <w:rFonts w:ascii="Calibri" w:eastAsia="Calibri" w:hAnsi="Calibri" w:cs="Calibri"/>
          <w:color w:val="333333"/>
          <w:sz w:val="15"/>
          <w:szCs w:val="15"/>
          <w:lang/>
        </w:rPr>
        <w:t>voorspelbaar als hierboven</w:t>
      </w:r>
      <w:r w:rsidRPr="0835508B">
        <w:rPr>
          <w:rFonts w:ascii="Calibri" w:eastAsia="Calibri" w:hAnsi="Calibri" w:cs="Calibri"/>
          <w:color w:val="333333"/>
          <w:sz w:val="15"/>
          <w:szCs w:val="15"/>
          <w:lang/>
        </w:rPr>
        <w:t>: aan beleggen zijn altijd risico’s verbonden, er is nooit sprake van een gegarandeerd rendement en resultaten uit het verleden bieden geen garantie voor de toekomst.</w:t>
      </w:r>
    </w:p>
    <w:p w14:paraId="2E136941" w14:textId="11285FB1" w:rsidR="4C28FB2E" w:rsidRDefault="4C28FB2E" w:rsidP="1EC887A7">
      <w:pPr>
        <w:pStyle w:val="Heading4"/>
      </w:pPr>
      <w:r w:rsidRPr="1EC887A7">
        <w:rPr>
          <w:rFonts w:ascii="Calibri" w:eastAsia="Calibri" w:hAnsi="Calibri" w:cs="Calibri"/>
          <w:b/>
          <w:bCs/>
          <w:i w:val="0"/>
          <w:iCs w:val="0"/>
          <w:color w:val="333333"/>
          <w:sz w:val="30"/>
          <w:szCs w:val="30"/>
          <w:lang/>
        </w:rPr>
        <w:lastRenderedPageBreak/>
        <w:t xml:space="preserve">Dus: </w:t>
      </w:r>
    </w:p>
    <w:p w14:paraId="7B321B40" w14:textId="26D1219F" w:rsidR="4C28FB2E" w:rsidRDefault="4C28FB2E">
      <w:r w:rsidRPr="1EC887A7">
        <w:rPr>
          <w:rFonts w:ascii="Calibri" w:eastAsia="Calibri" w:hAnsi="Calibri" w:cs="Calibri"/>
          <w:color w:val="333333"/>
          <w:sz w:val="27"/>
          <w:szCs w:val="27"/>
          <w:lang/>
        </w:rPr>
        <w:t>Misschien keek u een beetje raar op toen we zeiden dat het beste instapmoment zich voordeed toen u nog in de wieg lag. Nu snapt u waarom. Hoe langer u de tijd heeft, hoe meer u profiteert van het rendement op rendement-effect.</w:t>
      </w:r>
    </w:p>
    <w:p w14:paraId="1414E018" w14:textId="6920BCA8" w:rsidR="4C28FB2E" w:rsidRDefault="4C28FB2E" w:rsidP="1EC887A7">
      <w:pPr>
        <w:rPr>
          <w:rFonts w:ascii="Calibri" w:eastAsia="Calibri" w:hAnsi="Calibri" w:cs="Calibri"/>
          <w:color w:val="333333"/>
          <w:sz w:val="27"/>
          <w:szCs w:val="27"/>
          <w:lang/>
        </w:rPr>
      </w:pPr>
      <w:r w:rsidRPr="1EC887A7">
        <w:rPr>
          <w:rFonts w:ascii="Calibri" w:eastAsia="Calibri" w:hAnsi="Calibri" w:cs="Calibri"/>
          <w:color w:val="333333"/>
          <w:sz w:val="27"/>
          <w:szCs w:val="27"/>
          <w:lang/>
        </w:rPr>
        <w:t>Het cliché ‘uw geld voor u laten werken’ is dus niets voor niets een cliché, want het kan écht. En het mooie: u hoeft daar niets voor te doen. Inleggen, wachten, wachten en… langer wachten.</w:t>
      </w:r>
    </w:p>
    <w:sectPr w:rsidR="4C28F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86C2" w14:textId="77777777" w:rsidR="00556D0F" w:rsidRDefault="00556D0F" w:rsidP="00BF40B4">
      <w:pPr>
        <w:spacing w:after="0" w:line="240" w:lineRule="auto"/>
      </w:pPr>
      <w:r>
        <w:separator/>
      </w:r>
    </w:p>
  </w:endnote>
  <w:endnote w:type="continuationSeparator" w:id="0">
    <w:p w14:paraId="66E39FC8" w14:textId="77777777" w:rsidR="00556D0F" w:rsidRDefault="00556D0F" w:rsidP="00BF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A200" w14:textId="77777777" w:rsidR="00556D0F" w:rsidRDefault="00556D0F" w:rsidP="00BF40B4">
      <w:pPr>
        <w:spacing w:after="0" w:line="240" w:lineRule="auto"/>
      </w:pPr>
      <w:r>
        <w:separator/>
      </w:r>
    </w:p>
  </w:footnote>
  <w:footnote w:type="continuationSeparator" w:id="0">
    <w:p w14:paraId="10E0066F" w14:textId="77777777" w:rsidR="00556D0F" w:rsidRDefault="00556D0F" w:rsidP="00BF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C5"/>
    <w:multiLevelType w:val="hybridMultilevel"/>
    <w:tmpl w:val="8ECEE4EC"/>
    <w:lvl w:ilvl="0" w:tplc="D5BAE442">
      <w:start w:val="1"/>
      <w:numFmt w:val="bullet"/>
      <w:lvlText w:val=""/>
      <w:lvlJc w:val="left"/>
      <w:pPr>
        <w:ind w:left="720" w:hanging="360"/>
      </w:pPr>
      <w:rPr>
        <w:rFonts w:ascii="Symbol" w:hAnsi="Symbol" w:hint="default"/>
      </w:rPr>
    </w:lvl>
    <w:lvl w:ilvl="1" w:tplc="3E7692C0">
      <w:start w:val="1"/>
      <w:numFmt w:val="bullet"/>
      <w:lvlText w:val="o"/>
      <w:lvlJc w:val="left"/>
      <w:pPr>
        <w:ind w:left="1440" w:hanging="360"/>
      </w:pPr>
      <w:rPr>
        <w:rFonts w:ascii="Courier New" w:hAnsi="Courier New" w:hint="default"/>
      </w:rPr>
    </w:lvl>
    <w:lvl w:ilvl="2" w:tplc="3BBC151A">
      <w:start w:val="1"/>
      <w:numFmt w:val="bullet"/>
      <w:lvlText w:val=""/>
      <w:lvlJc w:val="left"/>
      <w:pPr>
        <w:ind w:left="2160" w:hanging="360"/>
      </w:pPr>
      <w:rPr>
        <w:rFonts w:ascii="Wingdings" w:hAnsi="Wingdings" w:hint="default"/>
      </w:rPr>
    </w:lvl>
    <w:lvl w:ilvl="3" w:tplc="F800D82E">
      <w:start w:val="1"/>
      <w:numFmt w:val="bullet"/>
      <w:lvlText w:val=""/>
      <w:lvlJc w:val="left"/>
      <w:pPr>
        <w:ind w:left="2880" w:hanging="360"/>
      </w:pPr>
      <w:rPr>
        <w:rFonts w:ascii="Symbol" w:hAnsi="Symbol" w:hint="default"/>
      </w:rPr>
    </w:lvl>
    <w:lvl w:ilvl="4" w:tplc="F71818F8">
      <w:start w:val="1"/>
      <w:numFmt w:val="bullet"/>
      <w:lvlText w:val="o"/>
      <w:lvlJc w:val="left"/>
      <w:pPr>
        <w:ind w:left="3600" w:hanging="360"/>
      </w:pPr>
      <w:rPr>
        <w:rFonts w:ascii="Courier New" w:hAnsi="Courier New" w:hint="default"/>
      </w:rPr>
    </w:lvl>
    <w:lvl w:ilvl="5" w:tplc="530A0CDA">
      <w:start w:val="1"/>
      <w:numFmt w:val="bullet"/>
      <w:lvlText w:val=""/>
      <w:lvlJc w:val="left"/>
      <w:pPr>
        <w:ind w:left="4320" w:hanging="360"/>
      </w:pPr>
      <w:rPr>
        <w:rFonts w:ascii="Wingdings" w:hAnsi="Wingdings" w:hint="default"/>
      </w:rPr>
    </w:lvl>
    <w:lvl w:ilvl="6" w:tplc="6A12BD24">
      <w:start w:val="1"/>
      <w:numFmt w:val="bullet"/>
      <w:lvlText w:val=""/>
      <w:lvlJc w:val="left"/>
      <w:pPr>
        <w:ind w:left="5040" w:hanging="360"/>
      </w:pPr>
      <w:rPr>
        <w:rFonts w:ascii="Symbol" w:hAnsi="Symbol" w:hint="default"/>
      </w:rPr>
    </w:lvl>
    <w:lvl w:ilvl="7" w:tplc="96DCEE8E">
      <w:start w:val="1"/>
      <w:numFmt w:val="bullet"/>
      <w:lvlText w:val="o"/>
      <w:lvlJc w:val="left"/>
      <w:pPr>
        <w:ind w:left="5760" w:hanging="360"/>
      </w:pPr>
      <w:rPr>
        <w:rFonts w:ascii="Courier New" w:hAnsi="Courier New" w:hint="default"/>
      </w:rPr>
    </w:lvl>
    <w:lvl w:ilvl="8" w:tplc="72DCC248">
      <w:start w:val="1"/>
      <w:numFmt w:val="bullet"/>
      <w:lvlText w:val=""/>
      <w:lvlJc w:val="left"/>
      <w:pPr>
        <w:ind w:left="6480" w:hanging="360"/>
      </w:pPr>
      <w:rPr>
        <w:rFonts w:ascii="Wingdings" w:hAnsi="Wingdings" w:hint="default"/>
      </w:rPr>
    </w:lvl>
  </w:abstractNum>
  <w:abstractNum w:abstractNumId="1" w15:restartNumberingAfterBreak="0">
    <w:nsid w:val="24657612"/>
    <w:multiLevelType w:val="hybridMultilevel"/>
    <w:tmpl w:val="DD6E44D0"/>
    <w:lvl w:ilvl="0" w:tplc="4B684510">
      <w:start w:val="1"/>
      <w:numFmt w:val="bullet"/>
      <w:lvlText w:val=""/>
      <w:lvlJc w:val="left"/>
      <w:pPr>
        <w:ind w:left="720" w:hanging="360"/>
      </w:pPr>
      <w:rPr>
        <w:rFonts w:ascii="Symbol" w:hAnsi="Symbol" w:hint="default"/>
      </w:rPr>
    </w:lvl>
    <w:lvl w:ilvl="1" w:tplc="CE121EE8">
      <w:start w:val="1"/>
      <w:numFmt w:val="bullet"/>
      <w:lvlText w:val="o"/>
      <w:lvlJc w:val="left"/>
      <w:pPr>
        <w:ind w:left="1440" w:hanging="360"/>
      </w:pPr>
      <w:rPr>
        <w:rFonts w:ascii="Courier New" w:hAnsi="Courier New" w:hint="default"/>
      </w:rPr>
    </w:lvl>
    <w:lvl w:ilvl="2" w:tplc="F92A8D2E">
      <w:start w:val="1"/>
      <w:numFmt w:val="bullet"/>
      <w:lvlText w:val=""/>
      <w:lvlJc w:val="left"/>
      <w:pPr>
        <w:ind w:left="2160" w:hanging="360"/>
      </w:pPr>
      <w:rPr>
        <w:rFonts w:ascii="Wingdings" w:hAnsi="Wingdings" w:hint="default"/>
      </w:rPr>
    </w:lvl>
    <w:lvl w:ilvl="3" w:tplc="A930045E">
      <w:start w:val="1"/>
      <w:numFmt w:val="bullet"/>
      <w:lvlText w:val=""/>
      <w:lvlJc w:val="left"/>
      <w:pPr>
        <w:ind w:left="2880" w:hanging="360"/>
      </w:pPr>
      <w:rPr>
        <w:rFonts w:ascii="Symbol" w:hAnsi="Symbol" w:hint="default"/>
      </w:rPr>
    </w:lvl>
    <w:lvl w:ilvl="4" w:tplc="CE10E242">
      <w:start w:val="1"/>
      <w:numFmt w:val="bullet"/>
      <w:lvlText w:val="o"/>
      <w:lvlJc w:val="left"/>
      <w:pPr>
        <w:ind w:left="3600" w:hanging="360"/>
      </w:pPr>
      <w:rPr>
        <w:rFonts w:ascii="Courier New" w:hAnsi="Courier New" w:hint="default"/>
      </w:rPr>
    </w:lvl>
    <w:lvl w:ilvl="5" w:tplc="BC4EB4E4">
      <w:start w:val="1"/>
      <w:numFmt w:val="bullet"/>
      <w:lvlText w:val=""/>
      <w:lvlJc w:val="left"/>
      <w:pPr>
        <w:ind w:left="4320" w:hanging="360"/>
      </w:pPr>
      <w:rPr>
        <w:rFonts w:ascii="Wingdings" w:hAnsi="Wingdings" w:hint="default"/>
      </w:rPr>
    </w:lvl>
    <w:lvl w:ilvl="6" w:tplc="1B1EAAAE">
      <w:start w:val="1"/>
      <w:numFmt w:val="bullet"/>
      <w:lvlText w:val=""/>
      <w:lvlJc w:val="left"/>
      <w:pPr>
        <w:ind w:left="5040" w:hanging="360"/>
      </w:pPr>
      <w:rPr>
        <w:rFonts w:ascii="Symbol" w:hAnsi="Symbol" w:hint="default"/>
      </w:rPr>
    </w:lvl>
    <w:lvl w:ilvl="7" w:tplc="400C5776">
      <w:start w:val="1"/>
      <w:numFmt w:val="bullet"/>
      <w:lvlText w:val="o"/>
      <w:lvlJc w:val="left"/>
      <w:pPr>
        <w:ind w:left="5760" w:hanging="360"/>
      </w:pPr>
      <w:rPr>
        <w:rFonts w:ascii="Courier New" w:hAnsi="Courier New" w:hint="default"/>
      </w:rPr>
    </w:lvl>
    <w:lvl w:ilvl="8" w:tplc="A9EEA11E">
      <w:start w:val="1"/>
      <w:numFmt w:val="bullet"/>
      <w:lvlText w:val=""/>
      <w:lvlJc w:val="left"/>
      <w:pPr>
        <w:ind w:left="6480" w:hanging="360"/>
      </w:pPr>
      <w:rPr>
        <w:rFonts w:ascii="Wingdings" w:hAnsi="Wingdings" w:hint="default"/>
      </w:rPr>
    </w:lvl>
  </w:abstractNum>
  <w:abstractNum w:abstractNumId="2" w15:restartNumberingAfterBreak="0">
    <w:nsid w:val="39E378BA"/>
    <w:multiLevelType w:val="hybridMultilevel"/>
    <w:tmpl w:val="819CC4F6"/>
    <w:lvl w:ilvl="0" w:tplc="B830B534">
      <w:start w:val="1"/>
      <w:numFmt w:val="bullet"/>
      <w:lvlText w:val=""/>
      <w:lvlJc w:val="left"/>
      <w:pPr>
        <w:ind w:left="720" w:hanging="360"/>
      </w:pPr>
      <w:rPr>
        <w:rFonts w:ascii="Symbol" w:hAnsi="Symbol" w:hint="default"/>
      </w:rPr>
    </w:lvl>
    <w:lvl w:ilvl="1" w:tplc="09600786">
      <w:start w:val="1"/>
      <w:numFmt w:val="bullet"/>
      <w:lvlText w:val="o"/>
      <w:lvlJc w:val="left"/>
      <w:pPr>
        <w:ind w:left="1440" w:hanging="360"/>
      </w:pPr>
      <w:rPr>
        <w:rFonts w:ascii="Courier New" w:hAnsi="Courier New" w:hint="default"/>
      </w:rPr>
    </w:lvl>
    <w:lvl w:ilvl="2" w:tplc="066CA0CC">
      <w:start w:val="1"/>
      <w:numFmt w:val="bullet"/>
      <w:lvlText w:val=""/>
      <w:lvlJc w:val="left"/>
      <w:pPr>
        <w:ind w:left="2160" w:hanging="360"/>
      </w:pPr>
      <w:rPr>
        <w:rFonts w:ascii="Wingdings" w:hAnsi="Wingdings" w:hint="default"/>
      </w:rPr>
    </w:lvl>
    <w:lvl w:ilvl="3" w:tplc="52B425C8">
      <w:start w:val="1"/>
      <w:numFmt w:val="bullet"/>
      <w:lvlText w:val=""/>
      <w:lvlJc w:val="left"/>
      <w:pPr>
        <w:ind w:left="2880" w:hanging="360"/>
      </w:pPr>
      <w:rPr>
        <w:rFonts w:ascii="Symbol" w:hAnsi="Symbol" w:hint="default"/>
      </w:rPr>
    </w:lvl>
    <w:lvl w:ilvl="4" w:tplc="C91E37CE">
      <w:start w:val="1"/>
      <w:numFmt w:val="bullet"/>
      <w:lvlText w:val="o"/>
      <w:lvlJc w:val="left"/>
      <w:pPr>
        <w:ind w:left="3600" w:hanging="360"/>
      </w:pPr>
      <w:rPr>
        <w:rFonts w:ascii="Courier New" w:hAnsi="Courier New" w:hint="default"/>
      </w:rPr>
    </w:lvl>
    <w:lvl w:ilvl="5" w:tplc="655C1922">
      <w:start w:val="1"/>
      <w:numFmt w:val="bullet"/>
      <w:lvlText w:val=""/>
      <w:lvlJc w:val="left"/>
      <w:pPr>
        <w:ind w:left="4320" w:hanging="360"/>
      </w:pPr>
      <w:rPr>
        <w:rFonts w:ascii="Wingdings" w:hAnsi="Wingdings" w:hint="default"/>
      </w:rPr>
    </w:lvl>
    <w:lvl w:ilvl="6" w:tplc="9B34BBE0">
      <w:start w:val="1"/>
      <w:numFmt w:val="bullet"/>
      <w:lvlText w:val=""/>
      <w:lvlJc w:val="left"/>
      <w:pPr>
        <w:ind w:left="5040" w:hanging="360"/>
      </w:pPr>
      <w:rPr>
        <w:rFonts w:ascii="Symbol" w:hAnsi="Symbol" w:hint="default"/>
      </w:rPr>
    </w:lvl>
    <w:lvl w:ilvl="7" w:tplc="3B7218AA">
      <w:start w:val="1"/>
      <w:numFmt w:val="bullet"/>
      <w:lvlText w:val="o"/>
      <w:lvlJc w:val="left"/>
      <w:pPr>
        <w:ind w:left="5760" w:hanging="360"/>
      </w:pPr>
      <w:rPr>
        <w:rFonts w:ascii="Courier New" w:hAnsi="Courier New" w:hint="default"/>
      </w:rPr>
    </w:lvl>
    <w:lvl w:ilvl="8" w:tplc="B8C28FB0">
      <w:start w:val="1"/>
      <w:numFmt w:val="bullet"/>
      <w:lvlText w:val=""/>
      <w:lvlJc w:val="left"/>
      <w:pPr>
        <w:ind w:left="6480" w:hanging="360"/>
      </w:pPr>
      <w:rPr>
        <w:rFonts w:ascii="Wingdings" w:hAnsi="Wingdings" w:hint="default"/>
      </w:rPr>
    </w:lvl>
  </w:abstractNum>
  <w:abstractNum w:abstractNumId="3" w15:restartNumberingAfterBreak="0">
    <w:nsid w:val="733D36EA"/>
    <w:multiLevelType w:val="hybridMultilevel"/>
    <w:tmpl w:val="BF084D82"/>
    <w:lvl w:ilvl="0" w:tplc="FB70A5D4">
      <w:start w:val="1"/>
      <w:numFmt w:val="decimal"/>
      <w:lvlText w:val="%1."/>
      <w:lvlJc w:val="left"/>
      <w:pPr>
        <w:ind w:left="720" w:hanging="360"/>
      </w:pPr>
    </w:lvl>
    <w:lvl w:ilvl="1" w:tplc="69181ADE">
      <w:start w:val="1"/>
      <w:numFmt w:val="lowerLetter"/>
      <w:lvlText w:val="%2."/>
      <w:lvlJc w:val="left"/>
      <w:pPr>
        <w:ind w:left="1440" w:hanging="360"/>
      </w:pPr>
    </w:lvl>
    <w:lvl w:ilvl="2" w:tplc="122441BA">
      <w:start w:val="1"/>
      <w:numFmt w:val="lowerRoman"/>
      <w:lvlText w:val="%3."/>
      <w:lvlJc w:val="right"/>
      <w:pPr>
        <w:ind w:left="2160" w:hanging="180"/>
      </w:pPr>
    </w:lvl>
    <w:lvl w:ilvl="3" w:tplc="E13C6FBE">
      <w:start w:val="1"/>
      <w:numFmt w:val="decimal"/>
      <w:lvlText w:val="%4."/>
      <w:lvlJc w:val="left"/>
      <w:pPr>
        <w:ind w:left="2880" w:hanging="360"/>
      </w:pPr>
    </w:lvl>
    <w:lvl w:ilvl="4" w:tplc="4198C490">
      <w:start w:val="1"/>
      <w:numFmt w:val="lowerLetter"/>
      <w:lvlText w:val="%5."/>
      <w:lvlJc w:val="left"/>
      <w:pPr>
        <w:ind w:left="3600" w:hanging="360"/>
      </w:pPr>
    </w:lvl>
    <w:lvl w:ilvl="5" w:tplc="58AC5488">
      <w:start w:val="1"/>
      <w:numFmt w:val="lowerRoman"/>
      <w:lvlText w:val="%6."/>
      <w:lvlJc w:val="right"/>
      <w:pPr>
        <w:ind w:left="4320" w:hanging="180"/>
      </w:pPr>
    </w:lvl>
    <w:lvl w:ilvl="6" w:tplc="7DBE7E1E">
      <w:start w:val="1"/>
      <w:numFmt w:val="decimal"/>
      <w:lvlText w:val="%7."/>
      <w:lvlJc w:val="left"/>
      <w:pPr>
        <w:ind w:left="5040" w:hanging="360"/>
      </w:pPr>
    </w:lvl>
    <w:lvl w:ilvl="7" w:tplc="AD1EED3E">
      <w:start w:val="1"/>
      <w:numFmt w:val="lowerLetter"/>
      <w:lvlText w:val="%8."/>
      <w:lvlJc w:val="left"/>
      <w:pPr>
        <w:ind w:left="5760" w:hanging="360"/>
      </w:pPr>
    </w:lvl>
    <w:lvl w:ilvl="8" w:tplc="E34A4812">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B"/>
    <w:rsid w:val="0000598D"/>
    <w:rsid w:val="00205191"/>
    <w:rsid w:val="00390EAB"/>
    <w:rsid w:val="003D09C6"/>
    <w:rsid w:val="00556D0F"/>
    <w:rsid w:val="005B5D51"/>
    <w:rsid w:val="00B36AD7"/>
    <w:rsid w:val="00B3F365"/>
    <w:rsid w:val="00BB6EF7"/>
    <w:rsid w:val="00BE7B0C"/>
    <w:rsid w:val="00BF40B4"/>
    <w:rsid w:val="00C17748"/>
    <w:rsid w:val="00D574D8"/>
    <w:rsid w:val="00E01F49"/>
    <w:rsid w:val="01FEAE87"/>
    <w:rsid w:val="02B6BDFA"/>
    <w:rsid w:val="02CF7E72"/>
    <w:rsid w:val="0336F644"/>
    <w:rsid w:val="03788221"/>
    <w:rsid w:val="03C9A3F9"/>
    <w:rsid w:val="03DB23A6"/>
    <w:rsid w:val="03FDB022"/>
    <w:rsid w:val="043DF50C"/>
    <w:rsid w:val="0441A5FE"/>
    <w:rsid w:val="048A152D"/>
    <w:rsid w:val="04959D35"/>
    <w:rsid w:val="04A11529"/>
    <w:rsid w:val="056F0840"/>
    <w:rsid w:val="0578C3D2"/>
    <w:rsid w:val="0592E30C"/>
    <w:rsid w:val="059F9FBE"/>
    <w:rsid w:val="05E6FF92"/>
    <w:rsid w:val="05ECA463"/>
    <w:rsid w:val="05F47CB9"/>
    <w:rsid w:val="05FC901A"/>
    <w:rsid w:val="06AC0C53"/>
    <w:rsid w:val="06B4965A"/>
    <w:rsid w:val="06E5115F"/>
    <w:rsid w:val="06F54196"/>
    <w:rsid w:val="0798607B"/>
    <w:rsid w:val="07D1EBF9"/>
    <w:rsid w:val="07D9D51E"/>
    <w:rsid w:val="0835508B"/>
    <w:rsid w:val="08361486"/>
    <w:rsid w:val="086593FC"/>
    <w:rsid w:val="08B06494"/>
    <w:rsid w:val="08D74080"/>
    <w:rsid w:val="0911662F"/>
    <w:rsid w:val="0952F60C"/>
    <w:rsid w:val="097FB2B1"/>
    <w:rsid w:val="0A16A33A"/>
    <w:rsid w:val="0A1C574D"/>
    <w:rsid w:val="0A1CB3C2"/>
    <w:rsid w:val="0A5A00C7"/>
    <w:rsid w:val="0ABA70B5"/>
    <w:rsid w:val="0B31D274"/>
    <w:rsid w:val="0B8A7D9E"/>
    <w:rsid w:val="0BB217F7"/>
    <w:rsid w:val="0C0A2FCF"/>
    <w:rsid w:val="0C8954E1"/>
    <w:rsid w:val="0C9A94E2"/>
    <w:rsid w:val="0CAB24D7"/>
    <w:rsid w:val="0D452206"/>
    <w:rsid w:val="0D516333"/>
    <w:rsid w:val="0D84CE7F"/>
    <w:rsid w:val="0D946886"/>
    <w:rsid w:val="0D96993C"/>
    <w:rsid w:val="0D9ED418"/>
    <w:rsid w:val="0DA5C575"/>
    <w:rsid w:val="0DB420F0"/>
    <w:rsid w:val="0DBF3186"/>
    <w:rsid w:val="0DEE9E44"/>
    <w:rsid w:val="0E0DC91D"/>
    <w:rsid w:val="0E170BA9"/>
    <w:rsid w:val="0E18FB4F"/>
    <w:rsid w:val="0EA866B4"/>
    <w:rsid w:val="0EF5D2BF"/>
    <w:rsid w:val="0F1C5A8E"/>
    <w:rsid w:val="0F363454"/>
    <w:rsid w:val="0F546BFC"/>
    <w:rsid w:val="0F5900E7"/>
    <w:rsid w:val="0F78493B"/>
    <w:rsid w:val="0F84AB65"/>
    <w:rsid w:val="0FA66699"/>
    <w:rsid w:val="0FAD4C99"/>
    <w:rsid w:val="0FB2DC0A"/>
    <w:rsid w:val="0FF7FC7F"/>
    <w:rsid w:val="1050BE00"/>
    <w:rsid w:val="106FDB98"/>
    <w:rsid w:val="10D204B5"/>
    <w:rsid w:val="110B28EA"/>
    <w:rsid w:val="112C4182"/>
    <w:rsid w:val="114A7C93"/>
    <w:rsid w:val="11EFEC78"/>
    <w:rsid w:val="1202466F"/>
    <w:rsid w:val="120BABF9"/>
    <w:rsid w:val="1277794C"/>
    <w:rsid w:val="127E22C6"/>
    <w:rsid w:val="12D1B013"/>
    <w:rsid w:val="12F29AA6"/>
    <w:rsid w:val="131C0521"/>
    <w:rsid w:val="13752309"/>
    <w:rsid w:val="138BBCD9"/>
    <w:rsid w:val="13AD0BAB"/>
    <w:rsid w:val="14AFCB07"/>
    <w:rsid w:val="14BF280A"/>
    <w:rsid w:val="1539895C"/>
    <w:rsid w:val="156EB6A6"/>
    <w:rsid w:val="1571CD9E"/>
    <w:rsid w:val="15803BE7"/>
    <w:rsid w:val="1596D522"/>
    <w:rsid w:val="166B17A1"/>
    <w:rsid w:val="1674DC22"/>
    <w:rsid w:val="1678D44B"/>
    <w:rsid w:val="172583D0"/>
    <w:rsid w:val="1732A583"/>
    <w:rsid w:val="1747EB7A"/>
    <w:rsid w:val="1751F68F"/>
    <w:rsid w:val="175C6A35"/>
    <w:rsid w:val="176A0E76"/>
    <w:rsid w:val="178227AD"/>
    <w:rsid w:val="179FD574"/>
    <w:rsid w:val="17D63755"/>
    <w:rsid w:val="17F6F818"/>
    <w:rsid w:val="18030E64"/>
    <w:rsid w:val="18055293"/>
    <w:rsid w:val="18628F69"/>
    <w:rsid w:val="18742092"/>
    <w:rsid w:val="18798414"/>
    <w:rsid w:val="18C3EE3D"/>
    <w:rsid w:val="18D5A08B"/>
    <w:rsid w:val="18E6BAD0"/>
    <w:rsid w:val="193D41E0"/>
    <w:rsid w:val="19584716"/>
    <w:rsid w:val="198DD37C"/>
    <w:rsid w:val="199EDEC5"/>
    <w:rsid w:val="19E74E5B"/>
    <w:rsid w:val="1A1D537D"/>
    <w:rsid w:val="1AA924A1"/>
    <w:rsid w:val="1AB40710"/>
    <w:rsid w:val="1B0CCAFC"/>
    <w:rsid w:val="1B1B29E0"/>
    <w:rsid w:val="1B29A3DD"/>
    <w:rsid w:val="1B3AAF26"/>
    <w:rsid w:val="1B5697F8"/>
    <w:rsid w:val="1B9C3BD6"/>
    <w:rsid w:val="1BE6CAC8"/>
    <w:rsid w:val="1C34FDDE"/>
    <w:rsid w:val="1C632E6D"/>
    <w:rsid w:val="1CD67F87"/>
    <w:rsid w:val="1CE8F294"/>
    <w:rsid w:val="1D88BEAA"/>
    <w:rsid w:val="1D8C76A8"/>
    <w:rsid w:val="1D921FB1"/>
    <w:rsid w:val="1DFB3F52"/>
    <w:rsid w:val="1E062060"/>
    <w:rsid w:val="1E1022C7"/>
    <w:rsid w:val="1E7868B8"/>
    <w:rsid w:val="1E7A4480"/>
    <w:rsid w:val="1E9550C8"/>
    <w:rsid w:val="1EA0768E"/>
    <w:rsid w:val="1EBA997B"/>
    <w:rsid w:val="1EC887A7"/>
    <w:rsid w:val="1F2B8ED8"/>
    <w:rsid w:val="1F4C581E"/>
    <w:rsid w:val="1F96146A"/>
    <w:rsid w:val="1FC28137"/>
    <w:rsid w:val="1FC655B8"/>
    <w:rsid w:val="1FD02B42"/>
    <w:rsid w:val="1FD291B6"/>
    <w:rsid w:val="20312129"/>
    <w:rsid w:val="20598EE0"/>
    <w:rsid w:val="207A3873"/>
    <w:rsid w:val="20B00887"/>
    <w:rsid w:val="20C9C761"/>
    <w:rsid w:val="20D3C59C"/>
    <w:rsid w:val="210119E2"/>
    <w:rsid w:val="2118BC6E"/>
    <w:rsid w:val="211D7733"/>
    <w:rsid w:val="2144DA77"/>
    <w:rsid w:val="2147C389"/>
    <w:rsid w:val="215B0180"/>
    <w:rsid w:val="21792F97"/>
    <w:rsid w:val="219CE3C0"/>
    <w:rsid w:val="21B1558E"/>
    <w:rsid w:val="21F8FB47"/>
    <w:rsid w:val="22B94794"/>
    <w:rsid w:val="231E9A4F"/>
    <w:rsid w:val="23880983"/>
    <w:rsid w:val="23E7A949"/>
    <w:rsid w:val="241B5DE3"/>
    <w:rsid w:val="24341D84"/>
    <w:rsid w:val="24380477"/>
    <w:rsid w:val="24505D30"/>
    <w:rsid w:val="24663BEE"/>
    <w:rsid w:val="247642D7"/>
    <w:rsid w:val="24990503"/>
    <w:rsid w:val="250DF31A"/>
    <w:rsid w:val="25168B29"/>
    <w:rsid w:val="251E86C5"/>
    <w:rsid w:val="2554A0A4"/>
    <w:rsid w:val="255523E0"/>
    <w:rsid w:val="25728E5E"/>
    <w:rsid w:val="26920D2C"/>
    <w:rsid w:val="26C511B5"/>
    <w:rsid w:val="26FE09C7"/>
    <w:rsid w:val="2706F062"/>
    <w:rsid w:val="270DEBD0"/>
    <w:rsid w:val="271832F5"/>
    <w:rsid w:val="2725457A"/>
    <w:rsid w:val="2790A28B"/>
    <w:rsid w:val="27987BBE"/>
    <w:rsid w:val="2890B0DB"/>
    <w:rsid w:val="28C468B8"/>
    <w:rsid w:val="28C7A31B"/>
    <w:rsid w:val="28CE5A55"/>
    <w:rsid w:val="28E97713"/>
    <w:rsid w:val="290AC759"/>
    <w:rsid w:val="29638CC8"/>
    <w:rsid w:val="29893C0F"/>
    <w:rsid w:val="299B6BA1"/>
    <w:rsid w:val="29A2460F"/>
    <w:rsid w:val="29B0CC77"/>
    <w:rsid w:val="29C25AC5"/>
    <w:rsid w:val="29E35E11"/>
    <w:rsid w:val="2A19C5C9"/>
    <w:rsid w:val="2A315453"/>
    <w:rsid w:val="2A8D32FF"/>
    <w:rsid w:val="2ACB07AC"/>
    <w:rsid w:val="2AD80CBB"/>
    <w:rsid w:val="2B0A7E83"/>
    <w:rsid w:val="2B116521"/>
    <w:rsid w:val="2B2A6133"/>
    <w:rsid w:val="2B2C4D58"/>
    <w:rsid w:val="2C11B2C9"/>
    <w:rsid w:val="2C43165C"/>
    <w:rsid w:val="2C849E2F"/>
    <w:rsid w:val="2C95398D"/>
    <w:rsid w:val="2D27FCE3"/>
    <w:rsid w:val="2D43689C"/>
    <w:rsid w:val="2D6FB8E2"/>
    <w:rsid w:val="2DD7F990"/>
    <w:rsid w:val="2E131FF2"/>
    <w:rsid w:val="2E18F009"/>
    <w:rsid w:val="2E2B926D"/>
    <w:rsid w:val="2E3F1D00"/>
    <w:rsid w:val="2E9C2BAB"/>
    <w:rsid w:val="2F319884"/>
    <w:rsid w:val="2F3AD3CC"/>
    <w:rsid w:val="2F49538B"/>
    <w:rsid w:val="2F5CCA02"/>
    <w:rsid w:val="2F9330B9"/>
    <w:rsid w:val="2FDAED61"/>
    <w:rsid w:val="2FEB2ADD"/>
    <w:rsid w:val="301AE10E"/>
    <w:rsid w:val="3070B941"/>
    <w:rsid w:val="30A095D7"/>
    <w:rsid w:val="30DB9784"/>
    <w:rsid w:val="30E36BF5"/>
    <w:rsid w:val="313B8883"/>
    <w:rsid w:val="3157F2E3"/>
    <w:rsid w:val="31933702"/>
    <w:rsid w:val="31CF03A2"/>
    <w:rsid w:val="327C3C1C"/>
    <w:rsid w:val="32A57A0F"/>
    <w:rsid w:val="32ABAE66"/>
    <w:rsid w:val="32D758E4"/>
    <w:rsid w:val="32D9108F"/>
    <w:rsid w:val="3394FDC2"/>
    <w:rsid w:val="339F7159"/>
    <w:rsid w:val="33A6E711"/>
    <w:rsid w:val="33C71825"/>
    <w:rsid w:val="33D63DAB"/>
    <w:rsid w:val="340D6BC5"/>
    <w:rsid w:val="34A2B414"/>
    <w:rsid w:val="3517A5C6"/>
    <w:rsid w:val="3528C2D7"/>
    <w:rsid w:val="3538585D"/>
    <w:rsid w:val="3547858D"/>
    <w:rsid w:val="356D39D1"/>
    <w:rsid w:val="3580BF75"/>
    <w:rsid w:val="35933116"/>
    <w:rsid w:val="35A86AC1"/>
    <w:rsid w:val="35BEC27B"/>
    <w:rsid w:val="35EF4697"/>
    <w:rsid w:val="362B2F25"/>
    <w:rsid w:val="36830BE6"/>
    <w:rsid w:val="36DC4380"/>
    <w:rsid w:val="37148099"/>
    <w:rsid w:val="374E8C1B"/>
    <w:rsid w:val="374EDF15"/>
    <w:rsid w:val="3772BD15"/>
    <w:rsid w:val="37B8F7AC"/>
    <w:rsid w:val="381793F1"/>
    <w:rsid w:val="385C7CA6"/>
    <w:rsid w:val="38969F74"/>
    <w:rsid w:val="38996876"/>
    <w:rsid w:val="38B1854F"/>
    <w:rsid w:val="38D49966"/>
    <w:rsid w:val="39469A68"/>
    <w:rsid w:val="39F37718"/>
    <w:rsid w:val="3AA572C0"/>
    <w:rsid w:val="3AA6A64B"/>
    <w:rsid w:val="3ACC4779"/>
    <w:rsid w:val="3AD7BBB7"/>
    <w:rsid w:val="3ADDB004"/>
    <w:rsid w:val="3B09CE0D"/>
    <w:rsid w:val="3B86E74A"/>
    <w:rsid w:val="3B98045B"/>
    <w:rsid w:val="3BA2202B"/>
    <w:rsid w:val="3BB32805"/>
    <w:rsid w:val="3BDC7B1D"/>
    <w:rsid w:val="3C02974A"/>
    <w:rsid w:val="3C282854"/>
    <w:rsid w:val="3C54E646"/>
    <w:rsid w:val="3C787F04"/>
    <w:rsid w:val="3C7CB68B"/>
    <w:rsid w:val="3CD70B71"/>
    <w:rsid w:val="3D04E1CD"/>
    <w:rsid w:val="3D2D2B42"/>
    <w:rsid w:val="3D870665"/>
    <w:rsid w:val="3DA4722E"/>
    <w:rsid w:val="3DBFDC08"/>
    <w:rsid w:val="3DFBEE5B"/>
    <w:rsid w:val="3DFE12E5"/>
    <w:rsid w:val="3E1550C6"/>
    <w:rsid w:val="3F811F98"/>
    <w:rsid w:val="3F95A90E"/>
    <w:rsid w:val="3F9C8C24"/>
    <w:rsid w:val="3FA212C3"/>
    <w:rsid w:val="3FB034A6"/>
    <w:rsid w:val="3FC347BA"/>
    <w:rsid w:val="401E6836"/>
    <w:rsid w:val="406BAB16"/>
    <w:rsid w:val="410846E6"/>
    <w:rsid w:val="4127C5DA"/>
    <w:rsid w:val="415027AE"/>
    <w:rsid w:val="416C1318"/>
    <w:rsid w:val="41927132"/>
    <w:rsid w:val="425A7788"/>
    <w:rsid w:val="427CD913"/>
    <w:rsid w:val="42A17DE8"/>
    <w:rsid w:val="42D9143F"/>
    <w:rsid w:val="42E01A0D"/>
    <w:rsid w:val="4356D126"/>
    <w:rsid w:val="4392FCFF"/>
    <w:rsid w:val="43D0E910"/>
    <w:rsid w:val="447E9DFD"/>
    <w:rsid w:val="44B34777"/>
    <w:rsid w:val="44D8BFD2"/>
    <w:rsid w:val="45694411"/>
    <w:rsid w:val="45A1787F"/>
    <w:rsid w:val="45A3E158"/>
    <w:rsid w:val="4621E0A6"/>
    <w:rsid w:val="46955321"/>
    <w:rsid w:val="47C68CC8"/>
    <w:rsid w:val="485AF87C"/>
    <w:rsid w:val="486D57D8"/>
    <w:rsid w:val="48768763"/>
    <w:rsid w:val="48F76DE7"/>
    <w:rsid w:val="48FCC73E"/>
    <w:rsid w:val="493249B4"/>
    <w:rsid w:val="495121F9"/>
    <w:rsid w:val="4A253A2A"/>
    <w:rsid w:val="4A879CC1"/>
    <w:rsid w:val="4A934ACE"/>
    <w:rsid w:val="4A93A3EA"/>
    <w:rsid w:val="4AF2BB6D"/>
    <w:rsid w:val="4B9118D5"/>
    <w:rsid w:val="4B96FE9B"/>
    <w:rsid w:val="4B97023B"/>
    <w:rsid w:val="4BB7C22A"/>
    <w:rsid w:val="4BD5D703"/>
    <w:rsid w:val="4C28FB2E"/>
    <w:rsid w:val="4C34C3EE"/>
    <w:rsid w:val="4CA1EB18"/>
    <w:rsid w:val="4D0F73F4"/>
    <w:rsid w:val="4D117B9B"/>
    <w:rsid w:val="4D49292A"/>
    <w:rsid w:val="4D5755C8"/>
    <w:rsid w:val="4D618529"/>
    <w:rsid w:val="4D8A8883"/>
    <w:rsid w:val="4EAB0946"/>
    <w:rsid w:val="4EEF8354"/>
    <w:rsid w:val="4EF23D1D"/>
    <w:rsid w:val="4F11E4DE"/>
    <w:rsid w:val="4F25C237"/>
    <w:rsid w:val="4FFC5788"/>
    <w:rsid w:val="5007AF76"/>
    <w:rsid w:val="5058233B"/>
    <w:rsid w:val="509B0B4B"/>
    <w:rsid w:val="50C310B0"/>
    <w:rsid w:val="51D56E6A"/>
    <w:rsid w:val="51F3F39C"/>
    <w:rsid w:val="524BA47D"/>
    <w:rsid w:val="52F255DD"/>
    <w:rsid w:val="53C4E6E9"/>
    <w:rsid w:val="53DE3B0E"/>
    <w:rsid w:val="53EA00CA"/>
    <w:rsid w:val="53FE4615"/>
    <w:rsid w:val="548B65B9"/>
    <w:rsid w:val="548FEDAD"/>
    <w:rsid w:val="54991A58"/>
    <w:rsid w:val="5499FBBE"/>
    <w:rsid w:val="552B945E"/>
    <w:rsid w:val="557550AA"/>
    <w:rsid w:val="559EE618"/>
    <w:rsid w:val="55A16EB3"/>
    <w:rsid w:val="55AE467D"/>
    <w:rsid w:val="56010988"/>
    <w:rsid w:val="56165577"/>
    <w:rsid w:val="5685EBE3"/>
    <w:rsid w:val="568C955D"/>
    <w:rsid w:val="56B07217"/>
    <w:rsid w:val="56E7AB41"/>
    <w:rsid w:val="574299BF"/>
    <w:rsid w:val="5762F77D"/>
    <w:rsid w:val="577B1A34"/>
    <w:rsid w:val="57B91955"/>
    <w:rsid w:val="57BFE338"/>
    <w:rsid w:val="58346034"/>
    <w:rsid w:val="5837A248"/>
    <w:rsid w:val="58809E9E"/>
    <w:rsid w:val="58D28A8F"/>
    <w:rsid w:val="59081A75"/>
    <w:rsid w:val="59948D61"/>
    <w:rsid w:val="59FD1DA3"/>
    <w:rsid w:val="5A1F4C03"/>
    <w:rsid w:val="5A2C9772"/>
    <w:rsid w:val="5AD978FC"/>
    <w:rsid w:val="5B130EF6"/>
    <w:rsid w:val="5BB0B47D"/>
    <w:rsid w:val="5BD97C68"/>
    <w:rsid w:val="5BEC2060"/>
    <w:rsid w:val="5C2A531D"/>
    <w:rsid w:val="5C4E40B5"/>
    <w:rsid w:val="5C7F9EED"/>
    <w:rsid w:val="5CE1B2EA"/>
    <w:rsid w:val="5CED7FB1"/>
    <w:rsid w:val="5D017863"/>
    <w:rsid w:val="5D42DBD8"/>
    <w:rsid w:val="5D68D7B6"/>
    <w:rsid w:val="5D93583B"/>
    <w:rsid w:val="5D9F3EA6"/>
    <w:rsid w:val="5DEE71CC"/>
    <w:rsid w:val="5E99E945"/>
    <w:rsid w:val="5ED276A4"/>
    <w:rsid w:val="5EDDC9EC"/>
    <w:rsid w:val="5F03311E"/>
    <w:rsid w:val="5F40F8BC"/>
    <w:rsid w:val="5FA91B27"/>
    <w:rsid w:val="5FD3F4DE"/>
    <w:rsid w:val="5FF9C910"/>
    <w:rsid w:val="6036270D"/>
    <w:rsid w:val="60A33F75"/>
    <w:rsid w:val="60DCC91D"/>
    <w:rsid w:val="60EEA787"/>
    <w:rsid w:val="6266C95E"/>
    <w:rsid w:val="6274691F"/>
    <w:rsid w:val="6366863C"/>
    <w:rsid w:val="63D2E206"/>
    <w:rsid w:val="647631D5"/>
    <w:rsid w:val="647E0105"/>
    <w:rsid w:val="6485372A"/>
    <w:rsid w:val="64FDA7E9"/>
    <w:rsid w:val="65424A88"/>
    <w:rsid w:val="657DB50F"/>
    <w:rsid w:val="6593FCAA"/>
    <w:rsid w:val="65B03A40"/>
    <w:rsid w:val="65B1B0D1"/>
    <w:rsid w:val="65DDF59E"/>
    <w:rsid w:val="65F1FCAD"/>
    <w:rsid w:val="66AEB6DD"/>
    <w:rsid w:val="66B0177C"/>
    <w:rsid w:val="66DE1AE9"/>
    <w:rsid w:val="67268A7F"/>
    <w:rsid w:val="67D869A1"/>
    <w:rsid w:val="67DAEFB2"/>
    <w:rsid w:val="67E2DD38"/>
    <w:rsid w:val="681E7534"/>
    <w:rsid w:val="6879EB4A"/>
    <w:rsid w:val="68828EA3"/>
    <w:rsid w:val="688AA298"/>
    <w:rsid w:val="689F7234"/>
    <w:rsid w:val="68C25AE0"/>
    <w:rsid w:val="68C34F86"/>
    <w:rsid w:val="697C1461"/>
    <w:rsid w:val="6A4EE8A8"/>
    <w:rsid w:val="6AD59EB2"/>
    <w:rsid w:val="6BB6D13D"/>
    <w:rsid w:val="6C8B9442"/>
    <w:rsid w:val="6D4110DC"/>
    <w:rsid w:val="6D688558"/>
    <w:rsid w:val="6D7440B6"/>
    <w:rsid w:val="6DA8CD42"/>
    <w:rsid w:val="6E18C3ED"/>
    <w:rsid w:val="6E79A6A3"/>
    <w:rsid w:val="6EAEE520"/>
    <w:rsid w:val="6EC9E7B8"/>
    <w:rsid w:val="6F0C932C"/>
    <w:rsid w:val="6FD34F9E"/>
    <w:rsid w:val="7011AC15"/>
    <w:rsid w:val="7084FD2F"/>
    <w:rsid w:val="70E83B34"/>
    <w:rsid w:val="71435BB0"/>
    <w:rsid w:val="714645AB"/>
    <w:rsid w:val="71C58ABA"/>
    <w:rsid w:val="720763C4"/>
    <w:rsid w:val="7253BC67"/>
    <w:rsid w:val="72AD7C16"/>
    <w:rsid w:val="72C06543"/>
    <w:rsid w:val="730A0B23"/>
    <w:rsid w:val="738C6F9C"/>
    <w:rsid w:val="73DFE747"/>
    <w:rsid w:val="73F210CA"/>
    <w:rsid w:val="73FAFF76"/>
    <w:rsid w:val="7411654C"/>
    <w:rsid w:val="742E43EE"/>
    <w:rsid w:val="743C6A90"/>
    <w:rsid w:val="7454B388"/>
    <w:rsid w:val="74BA9AFA"/>
    <w:rsid w:val="74F8C1A6"/>
    <w:rsid w:val="750FE1E9"/>
    <w:rsid w:val="757DCB3E"/>
    <w:rsid w:val="75EE743D"/>
    <w:rsid w:val="75F2DB8B"/>
    <w:rsid w:val="76A50393"/>
    <w:rsid w:val="76FC84FE"/>
    <w:rsid w:val="772F63EE"/>
    <w:rsid w:val="77545700"/>
    <w:rsid w:val="77BDAD11"/>
    <w:rsid w:val="78036E32"/>
    <w:rsid w:val="785080B2"/>
    <w:rsid w:val="7856F4D5"/>
    <w:rsid w:val="788D86A8"/>
    <w:rsid w:val="79C4CA5C"/>
    <w:rsid w:val="79D48BC1"/>
    <w:rsid w:val="7A34350B"/>
    <w:rsid w:val="7A41B03E"/>
    <w:rsid w:val="7A502D36"/>
    <w:rsid w:val="7A75F51D"/>
    <w:rsid w:val="7A873DDF"/>
    <w:rsid w:val="7A977C4D"/>
    <w:rsid w:val="7A9EACAB"/>
    <w:rsid w:val="7ABC856E"/>
    <w:rsid w:val="7B2A7185"/>
    <w:rsid w:val="7B42ABD8"/>
    <w:rsid w:val="7B5C4C42"/>
    <w:rsid w:val="7C55104D"/>
    <w:rsid w:val="7CECD619"/>
    <w:rsid w:val="7D02F694"/>
    <w:rsid w:val="7D7C52A2"/>
    <w:rsid w:val="7D8577C4"/>
    <w:rsid w:val="7D9B0D18"/>
    <w:rsid w:val="7D9C9924"/>
    <w:rsid w:val="7DA796FA"/>
    <w:rsid w:val="7E0EB6C1"/>
    <w:rsid w:val="7E29162D"/>
    <w:rsid w:val="7E54D5B3"/>
    <w:rsid w:val="7E8F323F"/>
    <w:rsid w:val="7EA510FD"/>
    <w:rsid w:val="7F2BEEA3"/>
    <w:rsid w:val="7F3D15B1"/>
    <w:rsid w:val="7F5191E2"/>
    <w:rsid w:val="7F8D4E95"/>
    <w:rsid w:val="7F8E1621"/>
    <w:rsid w:val="7FA72C1F"/>
  </w:rsids>
  <m:mathPr>
    <m:mathFont m:val="Cambria Math"/>
    <m:brkBin m:val="before"/>
    <m:brkBinSub m:val="--"/>
    <m:smallFrac m:val="0"/>
    <m:dispDef/>
    <m:lMargin m:val="0"/>
    <m:rMargin m:val="0"/>
    <m:defJc m:val="centerGroup"/>
    <m:wrapIndent m:val="1440"/>
    <m:intLim m:val="subSup"/>
    <m:naryLim m:val="undOvr"/>
  </m:mathPr>
  <w:themeFontLang w:val="en-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5A8E"/>
  <w15:chartTrackingRefBased/>
  <w15:docId w15:val="{1141C1D4-B645-4B61-BF6F-1B08354A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L"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0EAB"/>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customStyle="1" w:styleId="normaltextrun">
    <w:name w:val="normaltextrun"/>
    <w:basedOn w:val="DefaultParagraphFont"/>
    <w:rsid w:val="00390EAB"/>
  </w:style>
  <w:style w:type="character" w:customStyle="1" w:styleId="eop">
    <w:name w:val="eop"/>
    <w:basedOn w:val="DefaultParagraphFont"/>
    <w:rsid w:val="00390EA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65374">
      <w:bodyDiv w:val="1"/>
      <w:marLeft w:val="0"/>
      <w:marRight w:val="0"/>
      <w:marTop w:val="0"/>
      <w:marBottom w:val="0"/>
      <w:divBdr>
        <w:top w:val="none" w:sz="0" w:space="0" w:color="auto"/>
        <w:left w:val="none" w:sz="0" w:space="0" w:color="auto"/>
        <w:bottom w:val="none" w:sz="0" w:space="0" w:color="auto"/>
        <w:right w:val="none" w:sz="0" w:space="0" w:color="auto"/>
      </w:divBdr>
      <w:divsChild>
        <w:div w:id="1072001425">
          <w:marLeft w:val="0"/>
          <w:marRight w:val="0"/>
          <w:marTop w:val="0"/>
          <w:marBottom w:val="0"/>
          <w:divBdr>
            <w:top w:val="none" w:sz="0" w:space="0" w:color="auto"/>
            <w:left w:val="none" w:sz="0" w:space="0" w:color="auto"/>
            <w:bottom w:val="none" w:sz="0" w:space="0" w:color="auto"/>
            <w:right w:val="none" w:sz="0" w:space="0" w:color="auto"/>
          </w:divBdr>
        </w:div>
        <w:div w:id="45228662">
          <w:marLeft w:val="0"/>
          <w:marRight w:val="0"/>
          <w:marTop w:val="0"/>
          <w:marBottom w:val="0"/>
          <w:divBdr>
            <w:top w:val="none" w:sz="0" w:space="0" w:color="auto"/>
            <w:left w:val="none" w:sz="0" w:space="0" w:color="auto"/>
            <w:bottom w:val="none" w:sz="0" w:space="0" w:color="auto"/>
            <w:right w:val="none" w:sz="0" w:space="0" w:color="auto"/>
          </w:divBdr>
        </w:div>
        <w:div w:id="743839164">
          <w:marLeft w:val="0"/>
          <w:marRight w:val="0"/>
          <w:marTop w:val="0"/>
          <w:marBottom w:val="0"/>
          <w:divBdr>
            <w:top w:val="none" w:sz="0" w:space="0" w:color="auto"/>
            <w:left w:val="none" w:sz="0" w:space="0" w:color="auto"/>
            <w:bottom w:val="none" w:sz="0" w:space="0" w:color="auto"/>
            <w:right w:val="none" w:sz="0" w:space="0" w:color="auto"/>
          </w:divBdr>
        </w:div>
        <w:div w:id="1797718518">
          <w:marLeft w:val="0"/>
          <w:marRight w:val="0"/>
          <w:marTop w:val="0"/>
          <w:marBottom w:val="0"/>
          <w:divBdr>
            <w:top w:val="none" w:sz="0" w:space="0" w:color="auto"/>
            <w:left w:val="none" w:sz="0" w:space="0" w:color="auto"/>
            <w:bottom w:val="none" w:sz="0" w:space="0" w:color="auto"/>
            <w:right w:val="none" w:sz="0" w:space="0" w:color="auto"/>
          </w:divBdr>
        </w:div>
        <w:div w:id="918439270">
          <w:marLeft w:val="0"/>
          <w:marRight w:val="0"/>
          <w:marTop w:val="0"/>
          <w:marBottom w:val="0"/>
          <w:divBdr>
            <w:top w:val="none" w:sz="0" w:space="0" w:color="auto"/>
            <w:left w:val="none" w:sz="0" w:space="0" w:color="auto"/>
            <w:bottom w:val="none" w:sz="0" w:space="0" w:color="auto"/>
            <w:right w:val="none" w:sz="0" w:space="0" w:color="auto"/>
          </w:divBdr>
        </w:div>
        <w:div w:id="129131931">
          <w:marLeft w:val="0"/>
          <w:marRight w:val="0"/>
          <w:marTop w:val="0"/>
          <w:marBottom w:val="0"/>
          <w:divBdr>
            <w:top w:val="none" w:sz="0" w:space="0" w:color="auto"/>
            <w:left w:val="none" w:sz="0" w:space="0" w:color="auto"/>
            <w:bottom w:val="none" w:sz="0" w:space="0" w:color="auto"/>
            <w:right w:val="none" w:sz="0" w:space="0" w:color="auto"/>
          </w:divBdr>
        </w:div>
        <w:div w:id="509682183">
          <w:marLeft w:val="0"/>
          <w:marRight w:val="0"/>
          <w:marTop w:val="0"/>
          <w:marBottom w:val="0"/>
          <w:divBdr>
            <w:top w:val="none" w:sz="0" w:space="0" w:color="auto"/>
            <w:left w:val="none" w:sz="0" w:space="0" w:color="auto"/>
            <w:bottom w:val="none" w:sz="0" w:space="0" w:color="auto"/>
            <w:right w:val="none" w:sz="0" w:space="0" w:color="auto"/>
          </w:divBdr>
        </w:div>
        <w:div w:id="42603603">
          <w:marLeft w:val="0"/>
          <w:marRight w:val="0"/>
          <w:marTop w:val="0"/>
          <w:marBottom w:val="0"/>
          <w:divBdr>
            <w:top w:val="none" w:sz="0" w:space="0" w:color="auto"/>
            <w:left w:val="none" w:sz="0" w:space="0" w:color="auto"/>
            <w:bottom w:val="none" w:sz="0" w:space="0" w:color="auto"/>
            <w:right w:val="none" w:sz="0" w:space="0" w:color="auto"/>
          </w:divBdr>
        </w:div>
        <w:div w:id="1023633310">
          <w:marLeft w:val="0"/>
          <w:marRight w:val="0"/>
          <w:marTop w:val="0"/>
          <w:marBottom w:val="0"/>
          <w:divBdr>
            <w:top w:val="none" w:sz="0" w:space="0" w:color="auto"/>
            <w:left w:val="none" w:sz="0" w:space="0" w:color="auto"/>
            <w:bottom w:val="none" w:sz="0" w:space="0" w:color="auto"/>
            <w:right w:val="none" w:sz="0" w:space="0" w:color="auto"/>
          </w:divBdr>
        </w:div>
        <w:div w:id="1253735626">
          <w:marLeft w:val="0"/>
          <w:marRight w:val="0"/>
          <w:marTop w:val="0"/>
          <w:marBottom w:val="0"/>
          <w:divBdr>
            <w:top w:val="none" w:sz="0" w:space="0" w:color="auto"/>
            <w:left w:val="none" w:sz="0" w:space="0" w:color="auto"/>
            <w:bottom w:val="none" w:sz="0" w:space="0" w:color="auto"/>
            <w:right w:val="none" w:sz="0" w:space="0" w:color="auto"/>
          </w:divBdr>
        </w:div>
        <w:div w:id="289172638">
          <w:marLeft w:val="0"/>
          <w:marRight w:val="0"/>
          <w:marTop w:val="0"/>
          <w:marBottom w:val="0"/>
          <w:divBdr>
            <w:top w:val="none" w:sz="0" w:space="0" w:color="auto"/>
            <w:left w:val="none" w:sz="0" w:space="0" w:color="auto"/>
            <w:bottom w:val="none" w:sz="0" w:space="0" w:color="auto"/>
            <w:right w:val="none" w:sz="0" w:space="0" w:color="auto"/>
          </w:divBdr>
        </w:div>
        <w:div w:id="85614119">
          <w:marLeft w:val="0"/>
          <w:marRight w:val="0"/>
          <w:marTop w:val="0"/>
          <w:marBottom w:val="0"/>
          <w:divBdr>
            <w:top w:val="none" w:sz="0" w:space="0" w:color="auto"/>
            <w:left w:val="none" w:sz="0" w:space="0" w:color="auto"/>
            <w:bottom w:val="none" w:sz="0" w:space="0" w:color="auto"/>
            <w:right w:val="none" w:sz="0" w:space="0" w:color="auto"/>
          </w:divBdr>
        </w:div>
        <w:div w:id="85885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5" ma:contentTypeDescription="Een nieuw document maken." ma:contentTypeScope="" ma:versionID="6836dacb7b8ab0757cea64bce9cf2a9e">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a0feec6efb7c0bf1b175e9af22854d92"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D3945-6F64-4FC4-A697-15C35E4572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5062B5-8A80-4687-9ACC-2C48069AB92F}">
  <ds:schemaRefs>
    <ds:schemaRef ds:uri="http://schemas.microsoft.com/sharepoint/v3/contenttype/forms"/>
  </ds:schemaRefs>
</ds:datastoreItem>
</file>

<file path=customXml/itemProps3.xml><?xml version="1.0" encoding="utf-8"?>
<ds:datastoreItem xmlns:ds="http://schemas.openxmlformats.org/officeDocument/2006/customXml" ds:itemID="{BD8619EA-5E07-4839-8E04-440B4C08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6</cp:revision>
  <dcterms:created xsi:type="dcterms:W3CDTF">2021-06-15T14:21:00Z</dcterms:created>
  <dcterms:modified xsi:type="dcterms:W3CDTF">2021-11-22T15:17:00Z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